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082A" w14:textId="13BD404B" w:rsidR="00914CC7" w:rsidRDefault="00A00F42" w:rsidP="00A00F42">
      <w:pPr>
        <w:pStyle w:val="Heading1"/>
      </w:pPr>
      <w:r>
        <w:t xml:space="preserve">Summary of AHDB mycotoxin data </w:t>
      </w:r>
      <w:r w:rsidR="00BE7B88">
        <w:t>from 2018 to 2023</w:t>
      </w:r>
    </w:p>
    <w:p w14:paraId="1BB3189A" w14:textId="77777777" w:rsidR="00757564" w:rsidRPr="00757564" w:rsidRDefault="00757564" w:rsidP="00E3486D"/>
    <w:p w14:paraId="7508082C" w14:textId="77777777" w:rsidR="00A00F42" w:rsidRDefault="00A00F42" w:rsidP="00A00F42">
      <w:pPr>
        <w:pStyle w:val="Heading2"/>
      </w:pPr>
      <w:r>
        <w:t>Background</w:t>
      </w:r>
    </w:p>
    <w:p w14:paraId="0E13ECD7" w14:textId="77777777" w:rsidR="00BE7B88" w:rsidRPr="00BE7B88" w:rsidRDefault="00BE7B88" w:rsidP="00E3486D"/>
    <w:p w14:paraId="1817FF13" w14:textId="4F9CCB1D" w:rsidR="001C5309" w:rsidRDefault="009F1D4B" w:rsidP="001C5309">
      <w:r>
        <w:t xml:space="preserve">This report is a </w:t>
      </w:r>
      <w:r w:rsidR="00142CB6">
        <w:t>summary</w:t>
      </w:r>
      <w:r>
        <w:t xml:space="preserve"> of the 2018 </w:t>
      </w:r>
      <w:r w:rsidR="001C5309">
        <w:t>to</w:t>
      </w:r>
      <w:r>
        <w:t xml:space="preserve"> 2023 </w:t>
      </w:r>
      <w:r w:rsidR="00105C13">
        <w:t xml:space="preserve">mycotoxin </w:t>
      </w:r>
      <w:r w:rsidR="007B2EAD">
        <w:t>results</w:t>
      </w:r>
      <w:r>
        <w:t xml:space="preserve"> </w:t>
      </w:r>
      <w:r w:rsidR="00105C13">
        <w:t>for feed wheat, barley and oats</w:t>
      </w:r>
      <w:r w:rsidR="00A75367">
        <w:t>, plus</w:t>
      </w:r>
      <w:r w:rsidR="00105C13">
        <w:t xml:space="preserve"> </w:t>
      </w:r>
      <w:proofErr w:type="spellStart"/>
      <w:r w:rsidR="00105C13">
        <w:t>wheatfeed</w:t>
      </w:r>
      <w:proofErr w:type="spellEnd"/>
      <w:r w:rsidR="00105C13">
        <w:t xml:space="preserve"> and </w:t>
      </w:r>
      <w:proofErr w:type="spellStart"/>
      <w:r w:rsidR="00105C13">
        <w:t>oatfeed</w:t>
      </w:r>
      <w:proofErr w:type="spellEnd"/>
      <w:r w:rsidR="00105C13">
        <w:t xml:space="preserve"> </w:t>
      </w:r>
      <w:r>
        <w:t xml:space="preserve">from the </w:t>
      </w:r>
      <w:r w:rsidR="00A00F42">
        <w:t xml:space="preserve">AHDB Cereals and Oilseeds testing </w:t>
      </w:r>
      <w:r w:rsidR="00BE7B88">
        <w:t>programme</w:t>
      </w:r>
      <w:r w:rsidR="00390466">
        <w:t xml:space="preserve">, </w:t>
      </w:r>
      <w:r>
        <w:t>which was</w:t>
      </w:r>
      <w:r w:rsidR="00BE7B88">
        <w:t xml:space="preserve"> </w:t>
      </w:r>
      <w:r w:rsidR="00EE696B">
        <w:t>put in place to evaluate</w:t>
      </w:r>
      <w:r w:rsidR="005948C8">
        <w:t xml:space="preserve"> </w:t>
      </w:r>
      <w:r w:rsidR="00390466">
        <w:t xml:space="preserve">the occurrence </w:t>
      </w:r>
      <w:r w:rsidR="005E198D">
        <w:t>of</w:t>
      </w:r>
      <w:r w:rsidR="004644E4">
        <w:t xml:space="preserve"> </w:t>
      </w:r>
      <w:r w:rsidR="00A00F42">
        <w:t xml:space="preserve">the </w:t>
      </w:r>
      <w:r w:rsidR="001C5309">
        <w:t>following mycotoxins</w:t>
      </w:r>
      <w:r w:rsidR="00EF661D">
        <w:t xml:space="preserve">. </w:t>
      </w:r>
    </w:p>
    <w:p w14:paraId="49569A03" w14:textId="5E1C9261" w:rsidR="00E3486D" w:rsidRDefault="00E3486D" w:rsidP="001C5309">
      <w:pPr>
        <w:pStyle w:val="ListParagraph"/>
        <w:numPr>
          <w:ilvl w:val="0"/>
          <w:numId w:val="4"/>
        </w:numPr>
      </w:pPr>
      <w:r>
        <w:t xml:space="preserve">DON - </w:t>
      </w:r>
      <w:r w:rsidR="00666E6B" w:rsidRPr="00B566A1">
        <w:t>Deoxynivalenol</w:t>
      </w:r>
    </w:p>
    <w:p w14:paraId="5730C9C8" w14:textId="4F8842E1" w:rsidR="00E3486D" w:rsidRDefault="00E3486D" w:rsidP="00E22EE5">
      <w:pPr>
        <w:pStyle w:val="ListParagraph"/>
        <w:numPr>
          <w:ilvl w:val="0"/>
          <w:numId w:val="4"/>
        </w:numPr>
      </w:pPr>
      <w:r>
        <w:t xml:space="preserve">ZON - </w:t>
      </w:r>
      <w:r w:rsidR="00C817A3" w:rsidRPr="00C817A3">
        <w:t>Zearalenone</w:t>
      </w:r>
    </w:p>
    <w:p w14:paraId="7010C0D5" w14:textId="441F6CB5" w:rsidR="00E3486D" w:rsidRDefault="00E3486D">
      <w:pPr>
        <w:pStyle w:val="ListParagraph"/>
        <w:numPr>
          <w:ilvl w:val="0"/>
          <w:numId w:val="4"/>
        </w:numPr>
      </w:pPr>
      <w:r>
        <w:t>T2</w:t>
      </w:r>
      <w:r w:rsidR="00963DEF">
        <w:t xml:space="preserve"> </w:t>
      </w:r>
      <w:r>
        <w:t>+</w:t>
      </w:r>
      <w:r w:rsidR="00963DEF">
        <w:t xml:space="preserve"> </w:t>
      </w:r>
      <w:r>
        <w:t xml:space="preserve">HT2 </w:t>
      </w:r>
    </w:p>
    <w:p w14:paraId="28545D2A" w14:textId="197A2783" w:rsidR="00C51F62" w:rsidRDefault="00A67505" w:rsidP="001E0861">
      <w:r>
        <w:t xml:space="preserve">DON, T2 and HT-2 and ZON are produced by </w:t>
      </w:r>
      <w:r w:rsidR="00FC2C01" w:rsidRPr="0044467C">
        <w:rPr>
          <w:i/>
          <w:iCs/>
        </w:rPr>
        <w:t>Fusarium</w:t>
      </w:r>
      <w:r w:rsidR="00FC2C01">
        <w:t xml:space="preserve"> species</w:t>
      </w:r>
      <w:r w:rsidR="00083FB4">
        <w:t xml:space="preserve"> </w:t>
      </w:r>
      <w:r w:rsidR="00FC2C01">
        <w:t>of mould</w:t>
      </w:r>
      <w:r w:rsidR="00EE7521">
        <w:t>,</w:t>
      </w:r>
      <w:r w:rsidR="00462506">
        <w:t xml:space="preserve"> and o</w:t>
      </w:r>
      <w:r w:rsidR="00A04FE0">
        <w:t xml:space="preserve">chratoxin by </w:t>
      </w:r>
      <w:r w:rsidR="008E4CF5" w:rsidRPr="0044467C">
        <w:rPr>
          <w:i/>
          <w:iCs/>
        </w:rPr>
        <w:t xml:space="preserve">Aspergillus </w:t>
      </w:r>
      <w:r w:rsidR="00955269">
        <w:t>a</w:t>
      </w:r>
      <w:r w:rsidR="008E4CF5" w:rsidRPr="008E4CF5">
        <w:t xml:space="preserve">nd </w:t>
      </w:r>
      <w:r w:rsidR="00E3486D" w:rsidRPr="0044467C">
        <w:rPr>
          <w:i/>
          <w:iCs/>
        </w:rPr>
        <w:t>Penicillium</w:t>
      </w:r>
      <w:r w:rsidR="008E4CF5" w:rsidRPr="008E4CF5">
        <w:t xml:space="preserve"> sp</w:t>
      </w:r>
      <w:r w:rsidR="00083FB4">
        <w:t>ecies</w:t>
      </w:r>
      <w:r w:rsidR="001810B9">
        <w:t xml:space="preserve">. </w:t>
      </w:r>
      <w:r w:rsidR="00FD47F8" w:rsidRPr="00FD47F8">
        <w:rPr>
          <w:i/>
          <w:iCs/>
        </w:rPr>
        <w:t>Fusarium</w:t>
      </w:r>
      <w:r w:rsidR="00FD47F8" w:rsidRPr="00FD47F8">
        <w:t> mycotoxins</w:t>
      </w:r>
      <w:r w:rsidR="00FD47F8">
        <w:t xml:space="preserve"> </w:t>
      </w:r>
      <w:r w:rsidR="00155FFF">
        <w:t>develop while the</w:t>
      </w:r>
      <w:r w:rsidR="00AC41B6">
        <w:t xml:space="preserve"> cereal</w:t>
      </w:r>
      <w:r w:rsidR="00155FFF">
        <w:t xml:space="preserve"> crop is in the field</w:t>
      </w:r>
      <w:r w:rsidR="00296954">
        <w:t xml:space="preserve"> with c</w:t>
      </w:r>
      <w:r w:rsidR="004A00DD">
        <w:t xml:space="preserve">limatic and weather conditions </w:t>
      </w:r>
      <w:r w:rsidR="002B6D0D">
        <w:t>during</w:t>
      </w:r>
      <w:r w:rsidR="004A00DD">
        <w:t xml:space="preserve"> </w:t>
      </w:r>
      <w:r w:rsidR="002B6D0D">
        <w:t xml:space="preserve">key growth stages </w:t>
      </w:r>
      <w:r w:rsidR="00296954">
        <w:t xml:space="preserve">and </w:t>
      </w:r>
      <w:r w:rsidR="002B6D0D">
        <w:t>at harvest affect</w:t>
      </w:r>
      <w:r w:rsidR="00296954">
        <w:t>ing</w:t>
      </w:r>
      <w:r w:rsidR="002B6D0D">
        <w:t xml:space="preserve"> </w:t>
      </w:r>
      <w:r w:rsidR="00E20E8E">
        <w:t>the extent of</w:t>
      </w:r>
      <w:r w:rsidR="00296954">
        <w:t xml:space="preserve"> </w:t>
      </w:r>
      <w:r w:rsidR="001C311F">
        <w:t xml:space="preserve">Fusarium </w:t>
      </w:r>
      <w:r w:rsidR="00296954">
        <w:t xml:space="preserve">mould </w:t>
      </w:r>
      <w:r w:rsidR="001C311F">
        <w:t xml:space="preserve">development, and therefore </w:t>
      </w:r>
      <w:r w:rsidR="00AC41B6">
        <w:t>mycotoxin</w:t>
      </w:r>
      <w:r w:rsidR="002B6D0D">
        <w:t xml:space="preserve"> prevalence</w:t>
      </w:r>
      <w:r w:rsidR="001C311F">
        <w:t xml:space="preserve"> in </w:t>
      </w:r>
      <w:r w:rsidR="00603996">
        <w:t xml:space="preserve">the </w:t>
      </w:r>
      <w:r w:rsidR="001C311F">
        <w:t>grains</w:t>
      </w:r>
      <w:r w:rsidR="002B6D0D">
        <w:t xml:space="preserve">. </w:t>
      </w:r>
      <w:r w:rsidR="00982743" w:rsidRPr="00982743">
        <w:t>Penicillium and Aspergillus </w:t>
      </w:r>
      <w:r w:rsidR="00982743">
        <w:t xml:space="preserve">are </w:t>
      </w:r>
      <w:r w:rsidR="002B6D0D">
        <w:t xml:space="preserve">however </w:t>
      </w:r>
      <w:r w:rsidR="00982743">
        <w:t>storage fungi</w:t>
      </w:r>
      <w:r w:rsidR="00126D6D">
        <w:t xml:space="preserve">, meaning that </w:t>
      </w:r>
      <w:r w:rsidR="00126D6D" w:rsidRPr="00126D6D">
        <w:t>Ochratoxin</w:t>
      </w:r>
      <w:r w:rsidR="00126D6D">
        <w:t xml:space="preserve"> A develops </w:t>
      </w:r>
      <w:r w:rsidR="00D2294B">
        <w:t xml:space="preserve">after harvest </w:t>
      </w:r>
      <w:r w:rsidR="00CC5C57">
        <w:t xml:space="preserve">if drying and storage </w:t>
      </w:r>
      <w:r w:rsidR="00C80B04">
        <w:t>conditions</w:t>
      </w:r>
      <w:r w:rsidR="00CC5C57">
        <w:t xml:space="preserve"> are not ideal</w:t>
      </w:r>
      <w:r w:rsidR="00E243E8">
        <w:t xml:space="preserve">. </w:t>
      </w:r>
    </w:p>
    <w:p w14:paraId="5E30D27A" w14:textId="464C3A03" w:rsidR="00EB552C" w:rsidRDefault="00BE7B88" w:rsidP="001E0861">
      <w:r>
        <w:t xml:space="preserve">To show the distribution </w:t>
      </w:r>
      <w:r w:rsidR="00482D0D">
        <w:t xml:space="preserve">against the </w:t>
      </w:r>
      <w:r w:rsidR="00C301C8">
        <w:t xml:space="preserve">threshold </w:t>
      </w:r>
      <w:r>
        <w:t xml:space="preserve">ranges of the mycotoxin levels found in the samples tested they are presented in </w:t>
      </w:r>
      <w:r w:rsidR="001A5F0F">
        <w:t xml:space="preserve">a </w:t>
      </w:r>
      <w:r>
        <w:t>graphical for</w:t>
      </w:r>
      <w:r w:rsidR="009174B5">
        <w:t>m</w:t>
      </w:r>
      <w:r>
        <w:t xml:space="preserve">. </w:t>
      </w:r>
      <w:r w:rsidR="009174B5">
        <w:t>An amalgamation of the</w:t>
      </w:r>
      <w:r w:rsidR="00A00F42">
        <w:t xml:space="preserve"> cereal and byproduct</w:t>
      </w:r>
      <w:r w:rsidR="009174B5">
        <w:t xml:space="preserve"> data are presented </w:t>
      </w:r>
      <w:r w:rsidR="00A00F42">
        <w:t xml:space="preserve">because </w:t>
      </w:r>
      <w:r w:rsidR="008B74EB">
        <w:t xml:space="preserve">the mycotoxin </w:t>
      </w:r>
      <w:r w:rsidR="00A00F42">
        <w:t xml:space="preserve">results are </w:t>
      </w:r>
      <w:r w:rsidR="009A2654">
        <w:t xml:space="preserve">generally low compared </w:t>
      </w:r>
      <w:r w:rsidR="008B74EB">
        <w:t xml:space="preserve">with </w:t>
      </w:r>
      <w:r w:rsidR="009A2654">
        <w:t>guidance limits for animal feed. The exception to this is the sum of T</w:t>
      </w:r>
      <w:r w:rsidR="00482D0D">
        <w:t>-</w:t>
      </w:r>
      <w:r w:rsidR="009A2654">
        <w:t>2 and HT</w:t>
      </w:r>
      <w:r w:rsidR="00482D0D">
        <w:t>-</w:t>
      </w:r>
      <w:r w:rsidR="009A2654">
        <w:t>2 where oats and oat byproducts have a significantly higher incidence of issues</w:t>
      </w:r>
      <w:r w:rsidR="00984239">
        <w:t xml:space="preserve"> </w:t>
      </w:r>
      <w:r w:rsidR="009A2654">
        <w:t xml:space="preserve">so are displayed separately from </w:t>
      </w:r>
      <w:r w:rsidR="008B74EB">
        <w:t>the</w:t>
      </w:r>
      <w:r w:rsidR="00984239">
        <w:t xml:space="preserve"> T-2 and HT-2 </w:t>
      </w:r>
      <w:r w:rsidR="00C628A4">
        <w:t>results for</w:t>
      </w:r>
      <w:r w:rsidR="00C901AC">
        <w:t xml:space="preserve"> </w:t>
      </w:r>
      <w:r w:rsidR="009A2654">
        <w:t>wheat</w:t>
      </w:r>
      <w:r w:rsidR="00C901AC">
        <w:t xml:space="preserve">, wheat feed and </w:t>
      </w:r>
      <w:r w:rsidR="009A2654">
        <w:t>barley</w:t>
      </w:r>
      <w:r w:rsidR="00C901AC">
        <w:t>.</w:t>
      </w:r>
      <w:r w:rsidR="001B2F08">
        <w:t xml:space="preserve"> Threshold limits are presented for feed according </w:t>
      </w:r>
      <w:r w:rsidR="005B17DC">
        <w:t xml:space="preserve">to </w:t>
      </w:r>
      <w:r w:rsidR="005B17DC" w:rsidRPr="005B17DC">
        <w:t xml:space="preserve">Commission Recommendation (EU) 2013/165 </w:t>
      </w:r>
      <w:r w:rsidR="005B17DC">
        <w:t xml:space="preserve">and </w:t>
      </w:r>
      <w:r w:rsidR="000C0C70" w:rsidRPr="000C0C70">
        <w:t>Commission Recommendation 2006/576/EC</w:t>
      </w:r>
      <w:r w:rsidR="000C0C70">
        <w:t xml:space="preserve">. </w:t>
      </w:r>
      <w:r w:rsidR="005B17DC" w:rsidRPr="005B17DC">
        <w:tab/>
      </w:r>
      <w:r w:rsidR="005B17DC" w:rsidRPr="005B17DC">
        <w:tab/>
      </w:r>
    </w:p>
    <w:p w14:paraId="44D82F85" w14:textId="7B0CCD27" w:rsidR="00EB552C" w:rsidRDefault="00EB552C">
      <w:r>
        <w:br w:type="page"/>
      </w:r>
    </w:p>
    <w:p w14:paraId="75080831" w14:textId="12078078" w:rsidR="00A00F42" w:rsidRDefault="005B17DC" w:rsidP="001E0861">
      <w:r w:rsidRPr="005B17DC">
        <w:lastRenderedPageBreak/>
        <w:tab/>
      </w:r>
      <w:r w:rsidR="00E23D89">
        <w:t xml:space="preserve"> </w:t>
      </w:r>
    </w:p>
    <w:p w14:paraId="75080832" w14:textId="2581E01E" w:rsidR="009A2654" w:rsidRDefault="009A2654" w:rsidP="009A2654">
      <w:pPr>
        <w:pStyle w:val="Heading2"/>
      </w:pPr>
      <w:r>
        <w:t>DON</w:t>
      </w:r>
      <w:r w:rsidR="00B8146A">
        <w:t xml:space="preserve"> (</w:t>
      </w:r>
      <w:r w:rsidR="00DF45E4">
        <w:t>F</w:t>
      </w:r>
      <w:r w:rsidR="00822E61">
        <w:t xml:space="preserve">eed </w:t>
      </w:r>
      <w:r w:rsidR="00DF45E4">
        <w:t>W</w:t>
      </w:r>
      <w:r w:rsidR="00B8146A">
        <w:t xml:space="preserve">heat, </w:t>
      </w:r>
      <w:r w:rsidR="00DF45E4">
        <w:t>B</w:t>
      </w:r>
      <w:r w:rsidR="00B8146A">
        <w:t>arley</w:t>
      </w:r>
      <w:r w:rsidR="00822E61">
        <w:t xml:space="preserve"> and</w:t>
      </w:r>
      <w:r w:rsidR="00B8146A">
        <w:t xml:space="preserve"> </w:t>
      </w:r>
      <w:r w:rsidR="00960F68">
        <w:t>O</w:t>
      </w:r>
      <w:r w:rsidR="00B8146A">
        <w:t>ats</w:t>
      </w:r>
      <w:r w:rsidR="00822E61">
        <w:t>;</w:t>
      </w:r>
      <w:r w:rsidR="00B8146A">
        <w:t xml:space="preserve"> </w:t>
      </w:r>
      <w:proofErr w:type="spellStart"/>
      <w:r w:rsidR="00DF45E4">
        <w:t>W</w:t>
      </w:r>
      <w:r w:rsidR="00B8146A">
        <w:t>heatfeed</w:t>
      </w:r>
      <w:proofErr w:type="spellEnd"/>
      <w:r w:rsidR="00822E61">
        <w:t xml:space="preserve"> and</w:t>
      </w:r>
      <w:r w:rsidR="00B8146A">
        <w:t xml:space="preserve"> </w:t>
      </w:r>
      <w:proofErr w:type="spellStart"/>
      <w:r w:rsidR="00DF45E4">
        <w:t>O</w:t>
      </w:r>
      <w:r w:rsidR="00B8146A">
        <w:t>atfeed</w:t>
      </w:r>
      <w:proofErr w:type="spellEnd"/>
      <w:r w:rsidR="00B8146A">
        <w:t>)</w:t>
      </w:r>
      <w:r w:rsidR="00B943B0">
        <w:t xml:space="preserve"> </w:t>
      </w:r>
    </w:p>
    <w:p w14:paraId="52721BC5" w14:textId="0403B339" w:rsidR="00694C11" w:rsidRDefault="001A7554" w:rsidP="00284FB2">
      <w:r>
        <w:t xml:space="preserve">Total </w:t>
      </w:r>
      <w:r w:rsidR="002475F6">
        <w:t xml:space="preserve">365 </w:t>
      </w:r>
      <w:r>
        <w:t xml:space="preserve">samples, average </w:t>
      </w:r>
      <w:r w:rsidR="00EE370D">
        <w:t>61</w:t>
      </w:r>
      <w:r>
        <w:t xml:space="preserve"> per harvest</w:t>
      </w:r>
      <w:r w:rsidR="00AB266B">
        <w:t>.</w:t>
      </w:r>
    </w:p>
    <w:p w14:paraId="1BFFEA24" w14:textId="4634729A" w:rsidR="008C6836" w:rsidRPr="001A7554" w:rsidRDefault="00DF45E4" w:rsidP="00284FB2">
      <w:r>
        <w:rPr>
          <w:noProof/>
        </w:rPr>
        <w:drawing>
          <wp:inline distT="0" distB="0" distL="0" distR="0" wp14:anchorId="651D6592" wp14:editId="7485B347">
            <wp:extent cx="5731510" cy="3746500"/>
            <wp:effectExtent l="0" t="0" r="2540" b="6350"/>
            <wp:docPr id="6884362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8A77C1-F879-30BF-772B-63B3F20EF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080835" w14:textId="1B5CE6EA" w:rsidR="009E17F2" w:rsidRDefault="009E17F2" w:rsidP="009A2654">
      <w:r>
        <w:t>The relevance of the ranges selected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17F2" w14:paraId="75080838" w14:textId="77777777" w:rsidTr="009E17F2">
        <w:tc>
          <w:tcPr>
            <w:tcW w:w="1129" w:type="dxa"/>
          </w:tcPr>
          <w:p w14:paraId="75080836" w14:textId="77777777" w:rsidR="009E17F2" w:rsidRDefault="009E17F2" w:rsidP="009A2654">
            <w:r>
              <w:t>Level</w:t>
            </w:r>
          </w:p>
        </w:tc>
        <w:tc>
          <w:tcPr>
            <w:tcW w:w="7797" w:type="dxa"/>
          </w:tcPr>
          <w:p w14:paraId="75080837" w14:textId="77777777" w:rsidR="009E17F2" w:rsidRDefault="009E17F2" w:rsidP="009A2654">
            <w:r>
              <w:t>Limit</w:t>
            </w:r>
          </w:p>
        </w:tc>
      </w:tr>
      <w:tr w:rsidR="009E17F2" w14:paraId="7508083B" w14:textId="77777777" w:rsidTr="009E17F2">
        <w:tc>
          <w:tcPr>
            <w:tcW w:w="1129" w:type="dxa"/>
          </w:tcPr>
          <w:p w14:paraId="75080839" w14:textId="77777777" w:rsidR="009E17F2" w:rsidRDefault="009E17F2" w:rsidP="009A2654">
            <w:r>
              <w:t>10ppb</w:t>
            </w:r>
          </w:p>
        </w:tc>
        <w:tc>
          <w:tcPr>
            <w:tcW w:w="7797" w:type="dxa"/>
          </w:tcPr>
          <w:p w14:paraId="7508083A" w14:textId="77777777" w:rsidR="009E17F2" w:rsidRDefault="009E17F2" w:rsidP="009A2654">
            <w:r>
              <w:t>Limit of quantification of analysis</w:t>
            </w:r>
          </w:p>
        </w:tc>
      </w:tr>
      <w:tr w:rsidR="009E17F2" w14:paraId="7508083E" w14:textId="77777777" w:rsidTr="009E17F2">
        <w:tc>
          <w:tcPr>
            <w:tcW w:w="1129" w:type="dxa"/>
          </w:tcPr>
          <w:p w14:paraId="7508083C" w14:textId="77777777" w:rsidR="009E17F2" w:rsidRDefault="009E17F2" w:rsidP="009A2654">
            <w:r>
              <w:t>900ppb</w:t>
            </w:r>
          </w:p>
        </w:tc>
        <w:tc>
          <w:tcPr>
            <w:tcW w:w="7797" w:type="dxa"/>
          </w:tcPr>
          <w:p w14:paraId="7508083D" w14:textId="77777777" w:rsidR="009E17F2" w:rsidRDefault="009E17F2" w:rsidP="009A2654">
            <w:r>
              <w:t>Guidance level for compound feed for pigs</w:t>
            </w:r>
          </w:p>
        </w:tc>
      </w:tr>
      <w:tr w:rsidR="009E17F2" w14:paraId="75080841" w14:textId="77777777" w:rsidTr="009E17F2">
        <w:tc>
          <w:tcPr>
            <w:tcW w:w="1129" w:type="dxa"/>
          </w:tcPr>
          <w:p w14:paraId="7508083F" w14:textId="77777777" w:rsidR="009E17F2" w:rsidRDefault="009E17F2" w:rsidP="009A2654">
            <w:r>
              <w:t>2000ppb</w:t>
            </w:r>
          </w:p>
        </w:tc>
        <w:tc>
          <w:tcPr>
            <w:tcW w:w="7797" w:type="dxa"/>
          </w:tcPr>
          <w:p w14:paraId="75080840" w14:textId="77777777" w:rsidR="009E17F2" w:rsidRDefault="009E17F2" w:rsidP="009A2654">
            <w:r>
              <w:t>Guidance level for compound feed for young animals (except piglets)</w:t>
            </w:r>
          </w:p>
        </w:tc>
      </w:tr>
      <w:tr w:rsidR="009E17F2" w14:paraId="75080844" w14:textId="77777777" w:rsidTr="009E17F2">
        <w:tc>
          <w:tcPr>
            <w:tcW w:w="1129" w:type="dxa"/>
          </w:tcPr>
          <w:p w14:paraId="75080842" w14:textId="77777777" w:rsidR="009E17F2" w:rsidRDefault="009E17F2" w:rsidP="009A2654">
            <w:r>
              <w:t>5000ppb</w:t>
            </w:r>
          </w:p>
        </w:tc>
        <w:tc>
          <w:tcPr>
            <w:tcW w:w="7797" w:type="dxa"/>
          </w:tcPr>
          <w:p w14:paraId="75080843" w14:textId="77777777" w:rsidR="009E17F2" w:rsidRDefault="009E17F2" w:rsidP="009A2654">
            <w:r>
              <w:t>Guidance level for other compound feeds</w:t>
            </w:r>
          </w:p>
        </w:tc>
      </w:tr>
      <w:tr w:rsidR="009E17F2" w14:paraId="75080847" w14:textId="77777777" w:rsidTr="009E17F2">
        <w:tc>
          <w:tcPr>
            <w:tcW w:w="1129" w:type="dxa"/>
          </w:tcPr>
          <w:p w14:paraId="75080845" w14:textId="77777777" w:rsidR="009E17F2" w:rsidRDefault="009E17F2" w:rsidP="009A2654">
            <w:r>
              <w:t>8000ppb</w:t>
            </w:r>
          </w:p>
        </w:tc>
        <w:tc>
          <w:tcPr>
            <w:tcW w:w="7797" w:type="dxa"/>
          </w:tcPr>
          <w:p w14:paraId="75080846" w14:textId="77777777" w:rsidR="009E17F2" w:rsidRDefault="009E17F2" w:rsidP="009A2654">
            <w:r>
              <w:t>Guidance level for feed materials (except maize)</w:t>
            </w:r>
          </w:p>
        </w:tc>
      </w:tr>
    </w:tbl>
    <w:p w14:paraId="26BA075A" w14:textId="77777777" w:rsidR="0094596D" w:rsidRDefault="0094596D" w:rsidP="009E17F2">
      <w:pPr>
        <w:pStyle w:val="Heading3"/>
      </w:pPr>
    </w:p>
    <w:p w14:paraId="75080848" w14:textId="3C725583" w:rsidR="009E17F2" w:rsidRDefault="00757564" w:rsidP="009E17F2">
      <w:pPr>
        <w:pStyle w:val="Heading3"/>
      </w:pPr>
      <w:r>
        <w:t xml:space="preserve">Summary </w:t>
      </w:r>
      <w:r w:rsidR="0094596D">
        <w:t xml:space="preserve">DON </w:t>
      </w:r>
    </w:p>
    <w:p w14:paraId="2F5E5806" w14:textId="25F94B70" w:rsidR="00EB552C" w:rsidRDefault="009E17F2" w:rsidP="009E17F2">
      <w:r>
        <w:t xml:space="preserve">The results across the </w:t>
      </w:r>
      <w:r w:rsidR="00757564">
        <w:t>period</w:t>
      </w:r>
      <w:r>
        <w:t xml:space="preserve"> shown suggest that </w:t>
      </w:r>
      <w:r w:rsidR="00100A3C">
        <w:t xml:space="preserve">in some years </w:t>
      </w:r>
      <w:r w:rsidR="00572411">
        <w:t xml:space="preserve">a low percentage of </w:t>
      </w:r>
      <w:r>
        <w:t>DON results</w:t>
      </w:r>
      <w:r w:rsidR="00100A3C">
        <w:t xml:space="preserve"> have</w:t>
      </w:r>
      <w:r>
        <w:t xml:space="preserve"> </w:t>
      </w:r>
      <w:r w:rsidR="0059659D">
        <w:t>exceeded</w:t>
      </w:r>
      <w:r>
        <w:t xml:space="preserve"> the guidance level for </w:t>
      </w:r>
      <w:r w:rsidR="00F10224">
        <w:t>pig feed</w:t>
      </w:r>
      <w:r w:rsidR="00100A3C">
        <w:t xml:space="preserve">. </w:t>
      </w:r>
      <w:r w:rsidR="00C95163">
        <w:t xml:space="preserve">An </w:t>
      </w:r>
      <w:r w:rsidR="00635FF1">
        <w:t>annual risk assessment of cereal ingredients</w:t>
      </w:r>
      <w:r w:rsidR="00F10224">
        <w:t xml:space="preserve"> intended for feeding to pigs</w:t>
      </w:r>
      <w:r w:rsidR="00C95163">
        <w:t xml:space="preserve"> is therefore </w:t>
      </w:r>
      <w:r w:rsidR="003D1D90">
        <w:t>considered</w:t>
      </w:r>
      <w:r w:rsidR="00C95163">
        <w:t xml:space="preserve"> prudent</w:t>
      </w:r>
      <w:r w:rsidR="003D1D90">
        <w:t>, supported by a testing programme</w:t>
      </w:r>
      <w:r w:rsidR="00635FF1">
        <w:t xml:space="preserve"> to ca</w:t>
      </w:r>
      <w:r w:rsidR="00595AC5">
        <w:t xml:space="preserve">pture </w:t>
      </w:r>
      <w:r w:rsidR="00481BE3">
        <w:t xml:space="preserve">and monitor numbers of </w:t>
      </w:r>
      <w:r w:rsidR="00595AC5">
        <w:t>batches that exceed the guidance limit</w:t>
      </w:r>
      <w:r w:rsidR="00CF4FD2">
        <w:t xml:space="preserve"> so appropriate action can be taken. </w:t>
      </w:r>
    </w:p>
    <w:p w14:paraId="1CDB3F71" w14:textId="77777777" w:rsidR="00EB552C" w:rsidRDefault="00EB552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508084A" w14:textId="3794845A" w:rsidR="001A7554" w:rsidRDefault="00F10224" w:rsidP="00F10224">
      <w:pPr>
        <w:pStyle w:val="Heading2"/>
      </w:pPr>
      <w:r>
        <w:lastRenderedPageBreak/>
        <w:t>ZON</w:t>
      </w:r>
      <w:r w:rsidR="00B8146A">
        <w:t xml:space="preserve"> (wheat, barley, oats, </w:t>
      </w:r>
      <w:proofErr w:type="spellStart"/>
      <w:r w:rsidR="00B8146A">
        <w:t>wheatfeed</w:t>
      </w:r>
      <w:proofErr w:type="spellEnd"/>
      <w:r w:rsidR="00B8146A">
        <w:t xml:space="preserve">, </w:t>
      </w:r>
      <w:proofErr w:type="spellStart"/>
      <w:r w:rsidR="00B8146A">
        <w:t>oatfeed</w:t>
      </w:r>
      <w:proofErr w:type="spellEnd"/>
      <w:r w:rsidR="00B8146A">
        <w:t>)</w:t>
      </w:r>
    </w:p>
    <w:p w14:paraId="04487BD5" w14:textId="0EB58316" w:rsidR="0070255D" w:rsidRDefault="001A7554" w:rsidP="00284FB2">
      <w:r>
        <w:t xml:space="preserve">Total </w:t>
      </w:r>
      <w:r w:rsidR="00B36681">
        <w:t>365</w:t>
      </w:r>
      <w:r>
        <w:t xml:space="preserve"> samples, average 6</w:t>
      </w:r>
      <w:r w:rsidR="00B36681">
        <w:t>1</w:t>
      </w:r>
      <w:r>
        <w:t xml:space="preserve"> per harvest</w:t>
      </w:r>
    </w:p>
    <w:p w14:paraId="6B46B88D" w14:textId="3C976C58" w:rsidR="0070255D" w:rsidRDefault="007D0614" w:rsidP="00284FB2">
      <w:r>
        <w:rPr>
          <w:noProof/>
        </w:rPr>
        <w:drawing>
          <wp:inline distT="0" distB="0" distL="0" distR="0" wp14:anchorId="18243CF8" wp14:editId="01DE96B1">
            <wp:extent cx="5731510" cy="3743960"/>
            <wp:effectExtent l="0" t="0" r="2540" b="8890"/>
            <wp:docPr id="7491691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B3AC6D-C6FB-963C-5079-D2D3B3FEE1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08084D" w14:textId="77777777" w:rsidR="00F10224" w:rsidRDefault="00F10224" w:rsidP="00F10224">
      <w:r>
        <w:t>The relevance of the ranges selected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F10224" w14:paraId="75080850" w14:textId="77777777">
        <w:tc>
          <w:tcPr>
            <w:tcW w:w="1129" w:type="dxa"/>
          </w:tcPr>
          <w:p w14:paraId="7508084E" w14:textId="77777777" w:rsidR="00F10224" w:rsidRDefault="00F10224">
            <w:r>
              <w:t>Level</w:t>
            </w:r>
          </w:p>
        </w:tc>
        <w:tc>
          <w:tcPr>
            <w:tcW w:w="7797" w:type="dxa"/>
          </w:tcPr>
          <w:p w14:paraId="7508084F" w14:textId="77777777" w:rsidR="00F10224" w:rsidRDefault="00F10224">
            <w:r>
              <w:t>Limit</w:t>
            </w:r>
          </w:p>
        </w:tc>
      </w:tr>
      <w:tr w:rsidR="00F10224" w14:paraId="75080853" w14:textId="77777777">
        <w:tc>
          <w:tcPr>
            <w:tcW w:w="1129" w:type="dxa"/>
          </w:tcPr>
          <w:p w14:paraId="75080851" w14:textId="59E301E0" w:rsidR="00F10224" w:rsidRDefault="00F10224">
            <w:r>
              <w:t>2</w:t>
            </w:r>
            <w:r w:rsidR="00293573">
              <w:t xml:space="preserve">.5  </w:t>
            </w:r>
            <w:r>
              <w:t>ppb</w:t>
            </w:r>
          </w:p>
        </w:tc>
        <w:tc>
          <w:tcPr>
            <w:tcW w:w="7797" w:type="dxa"/>
          </w:tcPr>
          <w:p w14:paraId="75080852" w14:textId="77777777" w:rsidR="00F10224" w:rsidRDefault="00F10224">
            <w:r>
              <w:t>Limit of quantification of analysis</w:t>
            </w:r>
          </w:p>
        </w:tc>
      </w:tr>
      <w:tr w:rsidR="00F10224" w14:paraId="75080856" w14:textId="77777777">
        <w:tc>
          <w:tcPr>
            <w:tcW w:w="1129" w:type="dxa"/>
          </w:tcPr>
          <w:p w14:paraId="75080854" w14:textId="4AA4296A" w:rsidR="00F10224" w:rsidRDefault="00F10224">
            <w:r>
              <w:t>100</w:t>
            </w:r>
            <w:r w:rsidR="00293573">
              <w:t xml:space="preserve"> </w:t>
            </w:r>
            <w:r>
              <w:t>ppb</w:t>
            </w:r>
          </w:p>
        </w:tc>
        <w:tc>
          <w:tcPr>
            <w:tcW w:w="7797" w:type="dxa"/>
          </w:tcPr>
          <w:p w14:paraId="75080855" w14:textId="77777777" w:rsidR="00F10224" w:rsidRDefault="00F10224">
            <w:r>
              <w:t>Guidance level for compound feed for piglets &amp; gilts</w:t>
            </w:r>
          </w:p>
        </w:tc>
      </w:tr>
      <w:tr w:rsidR="00F10224" w14:paraId="75080859" w14:textId="77777777">
        <w:tc>
          <w:tcPr>
            <w:tcW w:w="1129" w:type="dxa"/>
          </w:tcPr>
          <w:p w14:paraId="75080857" w14:textId="16D5AFF6" w:rsidR="00F10224" w:rsidRDefault="00F10224" w:rsidP="00F10224">
            <w:r>
              <w:t>250</w:t>
            </w:r>
            <w:r w:rsidR="00293573">
              <w:t xml:space="preserve"> </w:t>
            </w:r>
            <w:r>
              <w:t>ppb</w:t>
            </w:r>
          </w:p>
        </w:tc>
        <w:tc>
          <w:tcPr>
            <w:tcW w:w="7797" w:type="dxa"/>
          </w:tcPr>
          <w:p w14:paraId="75080858" w14:textId="77777777" w:rsidR="00F10224" w:rsidRDefault="00F10224" w:rsidP="00F10224">
            <w:r>
              <w:t>Guidance level for compound feed for pigs (except piglets &amp; gilts)</w:t>
            </w:r>
          </w:p>
        </w:tc>
      </w:tr>
      <w:tr w:rsidR="00F10224" w14:paraId="7508085C" w14:textId="77777777">
        <w:tc>
          <w:tcPr>
            <w:tcW w:w="1129" w:type="dxa"/>
          </w:tcPr>
          <w:p w14:paraId="7508085A" w14:textId="1ECC2BCA" w:rsidR="00F10224" w:rsidRDefault="00F10224" w:rsidP="00F10224">
            <w:r>
              <w:t>500</w:t>
            </w:r>
            <w:r w:rsidR="00293573">
              <w:t xml:space="preserve"> </w:t>
            </w:r>
            <w:r>
              <w:t>ppb</w:t>
            </w:r>
          </w:p>
        </w:tc>
        <w:tc>
          <w:tcPr>
            <w:tcW w:w="7797" w:type="dxa"/>
          </w:tcPr>
          <w:p w14:paraId="7508085B" w14:textId="77777777" w:rsidR="00F10224" w:rsidRDefault="00F10224">
            <w:r>
              <w:t>Guidance level for other compound feeds</w:t>
            </w:r>
          </w:p>
        </w:tc>
      </w:tr>
      <w:tr w:rsidR="00F10224" w14:paraId="7508085F" w14:textId="77777777">
        <w:tc>
          <w:tcPr>
            <w:tcW w:w="1129" w:type="dxa"/>
          </w:tcPr>
          <w:p w14:paraId="7508085D" w14:textId="19B8996F" w:rsidR="00F10224" w:rsidRDefault="00F10224">
            <w:r>
              <w:t>2000</w:t>
            </w:r>
            <w:r w:rsidR="00293573">
              <w:t xml:space="preserve"> </w:t>
            </w:r>
            <w:r>
              <w:t>ppb</w:t>
            </w:r>
          </w:p>
        </w:tc>
        <w:tc>
          <w:tcPr>
            <w:tcW w:w="7797" w:type="dxa"/>
          </w:tcPr>
          <w:p w14:paraId="7508085E" w14:textId="77777777" w:rsidR="00F10224" w:rsidRDefault="00F10224">
            <w:r>
              <w:t>Guidance level for feed materials (except maize)</w:t>
            </w:r>
          </w:p>
        </w:tc>
      </w:tr>
    </w:tbl>
    <w:p w14:paraId="75080860" w14:textId="77777777" w:rsidR="00B8146A" w:rsidRDefault="00B8146A" w:rsidP="00D26F62">
      <w:pPr>
        <w:pStyle w:val="Heading3"/>
      </w:pPr>
    </w:p>
    <w:p w14:paraId="75080861" w14:textId="77777777" w:rsidR="00D26F62" w:rsidRDefault="00D26F62" w:rsidP="00D26F62">
      <w:pPr>
        <w:pStyle w:val="Heading3"/>
      </w:pPr>
      <w:r>
        <w:t>Commentary</w:t>
      </w:r>
    </w:p>
    <w:p w14:paraId="75080862" w14:textId="00D52531" w:rsidR="00D26F62" w:rsidRDefault="00D26F62" w:rsidP="00D26F62">
      <w:r>
        <w:t xml:space="preserve">The results across the </w:t>
      </w:r>
      <w:r w:rsidR="00D55D55">
        <w:t>period</w:t>
      </w:r>
      <w:r>
        <w:t xml:space="preserve"> shown suggest that </w:t>
      </w:r>
      <w:r w:rsidR="00C47AC1">
        <w:t>some</w:t>
      </w:r>
      <w:r>
        <w:t xml:space="preserve"> years, </w:t>
      </w:r>
      <w:r w:rsidR="005970EC">
        <w:t xml:space="preserve">most recently in 2021, </w:t>
      </w:r>
      <w:r>
        <w:t xml:space="preserve">ZON results exceed the guidance levels for pig feed. </w:t>
      </w:r>
      <w:r w:rsidR="00EB3DCA">
        <w:t xml:space="preserve">Although the number of </w:t>
      </w:r>
      <w:r w:rsidR="00150128">
        <w:t>cases when</w:t>
      </w:r>
      <w:r w:rsidR="00EB3DCA">
        <w:t xml:space="preserve"> this occurs is low, </w:t>
      </w:r>
      <w:r>
        <w:t>an annual risk assessment of cereal ingredients</w:t>
      </w:r>
      <w:r w:rsidR="00250208">
        <w:t xml:space="preserve"> used in diets</w:t>
      </w:r>
      <w:r w:rsidR="00C47AC1">
        <w:t xml:space="preserve">, including a review of the </w:t>
      </w:r>
      <w:r w:rsidR="003D36E1">
        <w:t xml:space="preserve">weather </w:t>
      </w:r>
      <w:r w:rsidR="008A2111">
        <w:t xml:space="preserve">conditions </w:t>
      </w:r>
      <w:r w:rsidR="003D36E1">
        <w:t xml:space="preserve">during the </w:t>
      </w:r>
      <w:r w:rsidR="00C47AC1">
        <w:t xml:space="preserve">growing </w:t>
      </w:r>
      <w:r w:rsidR="008A2111">
        <w:t>and harvesting</w:t>
      </w:r>
      <w:r w:rsidR="00C47AC1">
        <w:t xml:space="preserve"> season</w:t>
      </w:r>
      <w:r w:rsidR="003D36E1">
        <w:t>s</w:t>
      </w:r>
      <w:r w:rsidR="008A2111">
        <w:t xml:space="preserve">, </w:t>
      </w:r>
      <w:r w:rsidR="003D36E1">
        <w:t>is advised</w:t>
      </w:r>
      <w:r w:rsidR="00B701F4">
        <w:t xml:space="preserve">, and </w:t>
      </w:r>
      <w:r>
        <w:t xml:space="preserve">a sampling programme </w:t>
      </w:r>
      <w:r w:rsidR="004A7D13">
        <w:t xml:space="preserve">implemented to </w:t>
      </w:r>
      <w:r w:rsidR="00CA4EFF">
        <w:t>manage</w:t>
      </w:r>
      <w:r w:rsidR="004A7D13">
        <w:t xml:space="preserve"> the</w:t>
      </w:r>
      <w:r w:rsidR="008E4B7C">
        <w:t xml:space="preserve"> associated mycotoxin</w:t>
      </w:r>
      <w:r w:rsidR="004A7D13">
        <w:t xml:space="preserve"> risk</w:t>
      </w:r>
      <w:r>
        <w:t>.</w:t>
      </w:r>
    </w:p>
    <w:p w14:paraId="75080863" w14:textId="77777777" w:rsidR="008C77FA" w:rsidRDefault="008C77FA">
      <w:r>
        <w:br w:type="page"/>
      </w:r>
    </w:p>
    <w:p w14:paraId="75080864" w14:textId="77777777" w:rsidR="00F10224" w:rsidRDefault="0012586A" w:rsidP="0012586A">
      <w:pPr>
        <w:pStyle w:val="Heading2"/>
      </w:pPr>
      <w:r>
        <w:lastRenderedPageBreak/>
        <w:t>T2 + HT2</w:t>
      </w:r>
    </w:p>
    <w:p w14:paraId="75080865" w14:textId="4B19EFA1" w:rsidR="001E04DC" w:rsidRDefault="0012586A" w:rsidP="0012586A">
      <w:pPr>
        <w:pStyle w:val="Heading3"/>
      </w:pPr>
      <w:r>
        <w:t xml:space="preserve">Wheat, Barley &amp; </w:t>
      </w:r>
      <w:proofErr w:type="spellStart"/>
      <w:r w:rsidR="00960F68">
        <w:t>Wheatfeed</w:t>
      </w:r>
      <w:proofErr w:type="spellEnd"/>
    </w:p>
    <w:p w14:paraId="75080866" w14:textId="17D70CB4" w:rsidR="0012586A" w:rsidRDefault="001A7554" w:rsidP="00284FB2">
      <w:r>
        <w:t xml:space="preserve">Total </w:t>
      </w:r>
      <w:r w:rsidR="0031373D">
        <w:t xml:space="preserve">266 </w:t>
      </w:r>
      <w:r>
        <w:t xml:space="preserve">samples, average </w:t>
      </w:r>
      <w:r w:rsidR="002049B6">
        <w:t xml:space="preserve">44 </w:t>
      </w:r>
      <w:r>
        <w:t>per harvest</w:t>
      </w:r>
    </w:p>
    <w:p w14:paraId="75080867" w14:textId="27AA2DB3" w:rsidR="0012586A" w:rsidRDefault="0058484D" w:rsidP="0012586A">
      <w:r w:rsidDel="00973A82">
        <w:rPr>
          <w:noProof/>
          <w:lang w:eastAsia="en-GB"/>
        </w:rPr>
        <w:t xml:space="preserve"> </w:t>
      </w:r>
      <w:r w:rsidR="00C61B67">
        <w:rPr>
          <w:noProof/>
        </w:rPr>
        <w:drawing>
          <wp:inline distT="0" distB="0" distL="0" distR="0" wp14:anchorId="72F686F6" wp14:editId="5DF51A5C">
            <wp:extent cx="5731510" cy="3746500"/>
            <wp:effectExtent l="0" t="0" r="2540" b="6350"/>
            <wp:docPr id="12709006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9E6DBA-0D6D-3488-176F-1BB3F4EBD6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041F9" w:rsidDel="00973A82">
        <w:rPr>
          <w:noProof/>
          <w:lang w:eastAsia="en-GB"/>
        </w:rPr>
        <w:t xml:space="preserve"> </w:t>
      </w:r>
    </w:p>
    <w:p w14:paraId="75080868" w14:textId="77777777" w:rsidR="00DD6633" w:rsidRDefault="00DD6633" w:rsidP="00DD6633">
      <w:r>
        <w:t>The relevance of the ranges selected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DD6633" w14:paraId="7508086B" w14:textId="77777777">
        <w:tc>
          <w:tcPr>
            <w:tcW w:w="1129" w:type="dxa"/>
          </w:tcPr>
          <w:p w14:paraId="75080869" w14:textId="77777777" w:rsidR="00DD6633" w:rsidRDefault="00DD6633">
            <w:r>
              <w:t>Level</w:t>
            </w:r>
          </w:p>
        </w:tc>
        <w:tc>
          <w:tcPr>
            <w:tcW w:w="7797" w:type="dxa"/>
          </w:tcPr>
          <w:p w14:paraId="7508086A" w14:textId="77777777" w:rsidR="00DD6633" w:rsidRDefault="00DD6633">
            <w:r>
              <w:t>Limit</w:t>
            </w:r>
          </w:p>
        </w:tc>
      </w:tr>
      <w:tr w:rsidR="00DD6633" w14:paraId="7508086E" w14:textId="77777777">
        <w:tc>
          <w:tcPr>
            <w:tcW w:w="1129" w:type="dxa"/>
          </w:tcPr>
          <w:p w14:paraId="7508086C" w14:textId="77777777" w:rsidR="00DD6633" w:rsidRDefault="00DD6633">
            <w:r>
              <w:t>10ppb</w:t>
            </w:r>
          </w:p>
        </w:tc>
        <w:tc>
          <w:tcPr>
            <w:tcW w:w="7797" w:type="dxa"/>
          </w:tcPr>
          <w:p w14:paraId="7508086D" w14:textId="23ECD86E" w:rsidR="00DD6633" w:rsidRDefault="00DD6633">
            <w:r>
              <w:t>Limit of quantification of analysis</w:t>
            </w:r>
            <w:r w:rsidR="00146504">
              <w:t xml:space="preserve"> (10 ppb for each mycotoxin)</w:t>
            </w:r>
          </w:p>
        </w:tc>
      </w:tr>
      <w:tr w:rsidR="00DD6633" w14:paraId="75080871" w14:textId="77777777">
        <w:tc>
          <w:tcPr>
            <w:tcW w:w="1129" w:type="dxa"/>
          </w:tcPr>
          <w:p w14:paraId="7508086F" w14:textId="77777777" w:rsidR="00DD6633" w:rsidRDefault="00DD6633">
            <w:r>
              <w:t>100ppb</w:t>
            </w:r>
          </w:p>
        </w:tc>
        <w:tc>
          <w:tcPr>
            <w:tcW w:w="7797" w:type="dxa"/>
          </w:tcPr>
          <w:p w14:paraId="75080870" w14:textId="0D550622" w:rsidR="00DD6633" w:rsidRDefault="00DD6633" w:rsidP="00DD6633">
            <w:r>
              <w:t>Guidance level for wheat &amp; rye</w:t>
            </w:r>
          </w:p>
        </w:tc>
      </w:tr>
      <w:tr w:rsidR="00DD6633" w14:paraId="75080874" w14:textId="77777777">
        <w:tc>
          <w:tcPr>
            <w:tcW w:w="1129" w:type="dxa"/>
          </w:tcPr>
          <w:p w14:paraId="75080872" w14:textId="77777777" w:rsidR="00DD6633" w:rsidRDefault="00DD6633" w:rsidP="00DD6633">
            <w:r>
              <w:t>200ppb</w:t>
            </w:r>
          </w:p>
        </w:tc>
        <w:tc>
          <w:tcPr>
            <w:tcW w:w="7797" w:type="dxa"/>
          </w:tcPr>
          <w:p w14:paraId="75080873" w14:textId="77777777" w:rsidR="00DD6633" w:rsidRDefault="00DD6633" w:rsidP="00DD6633">
            <w:r>
              <w:t>Guidance level for barley &amp; maize</w:t>
            </w:r>
          </w:p>
        </w:tc>
      </w:tr>
      <w:tr w:rsidR="00DD6633" w14:paraId="75080877" w14:textId="77777777">
        <w:tc>
          <w:tcPr>
            <w:tcW w:w="1129" w:type="dxa"/>
          </w:tcPr>
          <w:p w14:paraId="75080875" w14:textId="77777777" w:rsidR="00DD6633" w:rsidRDefault="00DD6633" w:rsidP="00DD6633">
            <w:r>
              <w:t>250ppb</w:t>
            </w:r>
          </w:p>
        </w:tc>
        <w:tc>
          <w:tcPr>
            <w:tcW w:w="7797" w:type="dxa"/>
          </w:tcPr>
          <w:p w14:paraId="75080876" w14:textId="77777777" w:rsidR="00DD6633" w:rsidRDefault="00DD6633" w:rsidP="00DD6633">
            <w:r>
              <w:t>Guidance level for compound feeds</w:t>
            </w:r>
          </w:p>
        </w:tc>
      </w:tr>
      <w:tr w:rsidR="00DD6633" w14:paraId="7508087A" w14:textId="77777777">
        <w:tc>
          <w:tcPr>
            <w:tcW w:w="1129" w:type="dxa"/>
          </w:tcPr>
          <w:p w14:paraId="75080878" w14:textId="77777777" w:rsidR="00DD6633" w:rsidRDefault="00DD6633" w:rsidP="00DD6633">
            <w:r>
              <w:t>500ppb</w:t>
            </w:r>
          </w:p>
        </w:tc>
        <w:tc>
          <w:tcPr>
            <w:tcW w:w="7797" w:type="dxa"/>
          </w:tcPr>
          <w:p w14:paraId="75080879" w14:textId="77777777" w:rsidR="00DD6633" w:rsidRDefault="00DD6633" w:rsidP="00DD6633">
            <w:r>
              <w:t>Guidance level for cereal feed materials (except oats)</w:t>
            </w:r>
          </w:p>
        </w:tc>
      </w:tr>
    </w:tbl>
    <w:p w14:paraId="7508087B" w14:textId="77777777" w:rsidR="00B8146A" w:rsidRDefault="00B8146A" w:rsidP="00DD6633">
      <w:pPr>
        <w:pStyle w:val="Heading3"/>
      </w:pPr>
    </w:p>
    <w:p w14:paraId="7508087C" w14:textId="77777777" w:rsidR="00DD6633" w:rsidRDefault="00DD6633" w:rsidP="00DD6633">
      <w:pPr>
        <w:pStyle w:val="Heading3"/>
      </w:pPr>
      <w:r>
        <w:t>Commentary</w:t>
      </w:r>
    </w:p>
    <w:p w14:paraId="7508087D" w14:textId="6227F1A8" w:rsidR="00DD6633" w:rsidRDefault="00DD6633" w:rsidP="00DD6633">
      <w:r>
        <w:t xml:space="preserve">Over the past 6 harvests there </w:t>
      </w:r>
      <w:r w:rsidR="00723BCA">
        <w:t xml:space="preserve">was </w:t>
      </w:r>
      <w:r w:rsidR="00670E6B">
        <w:t xml:space="preserve">just </w:t>
      </w:r>
      <w:r w:rsidR="00723BCA">
        <w:t>one</w:t>
      </w:r>
      <w:r>
        <w:t xml:space="preserve"> result</w:t>
      </w:r>
      <w:r w:rsidR="002049B6">
        <w:t xml:space="preserve"> in </w:t>
      </w:r>
      <w:r w:rsidR="00670E6B">
        <w:t xml:space="preserve">2018 of 260 ppb which </w:t>
      </w:r>
      <w:r>
        <w:t>exceed</w:t>
      </w:r>
      <w:r w:rsidR="00670E6B">
        <w:t>s</w:t>
      </w:r>
      <w:r>
        <w:t xml:space="preserve"> the guidance level for compound feeds</w:t>
      </w:r>
      <w:r w:rsidR="00FE7BA7">
        <w:t xml:space="preserve">. Although the incidence of T-2 and HT-2 appears to be low, risk assessment of this mycotoxin in cereals and their byproducts remains </w:t>
      </w:r>
      <w:r w:rsidR="00AB4841">
        <w:t xml:space="preserve">a </w:t>
      </w:r>
      <w:r w:rsidR="00FE7BA7">
        <w:t xml:space="preserve">prudent exercise, including </w:t>
      </w:r>
      <w:r w:rsidR="00C224C2">
        <w:t xml:space="preserve">a due diligence testing program.  </w:t>
      </w:r>
    </w:p>
    <w:p w14:paraId="7508087E" w14:textId="77777777" w:rsidR="00F16FF5" w:rsidRDefault="00F16FF5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7508087F" w14:textId="77777777" w:rsidR="001E04DC" w:rsidRDefault="0034424E" w:rsidP="0034424E">
      <w:pPr>
        <w:pStyle w:val="Heading3"/>
      </w:pPr>
      <w:r>
        <w:lastRenderedPageBreak/>
        <w:t>Oats</w:t>
      </w:r>
      <w:r w:rsidR="001E04DC">
        <w:t>/ oat byproducts</w:t>
      </w:r>
    </w:p>
    <w:p w14:paraId="3DDB8945" w14:textId="77777777" w:rsidR="00E429AB" w:rsidRDefault="001E04DC" w:rsidP="00E429AB">
      <w:pPr>
        <w:pStyle w:val="NoSpacing"/>
      </w:pPr>
      <w:r>
        <w:t xml:space="preserve">Total </w:t>
      </w:r>
      <w:r w:rsidR="007372CE">
        <w:t>99</w:t>
      </w:r>
      <w:r>
        <w:t xml:space="preserve"> samples, </w:t>
      </w:r>
      <w:r w:rsidR="00596C7E">
        <w:t xml:space="preserve">16 </w:t>
      </w:r>
      <w:r>
        <w:t>average per harvest</w:t>
      </w:r>
    </w:p>
    <w:p w14:paraId="5D48DB54" w14:textId="77777777" w:rsidR="00E429AB" w:rsidRDefault="00E429AB" w:rsidP="00E429AB">
      <w:pPr>
        <w:pStyle w:val="NoSpacing"/>
      </w:pPr>
    </w:p>
    <w:p w14:paraId="3E8D8A7B" w14:textId="001C01C8" w:rsidR="00E429AB" w:rsidRDefault="00E429AB" w:rsidP="00E429AB">
      <w:pPr>
        <w:pStyle w:val="NoSpacing"/>
      </w:pPr>
      <w:r>
        <w:rPr>
          <w:noProof/>
        </w:rPr>
        <w:drawing>
          <wp:inline distT="0" distB="0" distL="0" distR="0" wp14:anchorId="4D7CF4AD" wp14:editId="47C4251B">
            <wp:extent cx="5731510" cy="3741420"/>
            <wp:effectExtent l="0" t="0" r="2540" b="11430"/>
            <wp:docPr id="12237637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14421B-9C53-608D-DAE2-763E3ECC8D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D64FA84" w14:textId="65F208DF" w:rsidR="00E429AB" w:rsidRDefault="00E429AB" w:rsidP="00E429AB">
      <w:pPr>
        <w:pStyle w:val="NoSpacing"/>
      </w:pPr>
    </w:p>
    <w:p w14:paraId="75080881" w14:textId="5706728A" w:rsidR="0034424E" w:rsidRDefault="00205FDE" w:rsidP="00E429AB">
      <w:pPr>
        <w:pStyle w:val="NoSpacing"/>
      </w:pPr>
      <w:r w:rsidDel="00862518">
        <w:rPr>
          <w:noProof/>
          <w:lang w:eastAsia="en-GB"/>
        </w:rPr>
        <w:t xml:space="preserve"> </w:t>
      </w:r>
      <w:r w:rsidR="001A56A9" w:rsidDel="00862518">
        <w:rPr>
          <w:noProof/>
          <w:lang w:eastAsia="en-GB"/>
        </w:rPr>
        <w:t xml:space="preserve"> </w:t>
      </w:r>
    </w:p>
    <w:p w14:paraId="75080882" w14:textId="77777777" w:rsidR="00F02390" w:rsidRDefault="00F02390" w:rsidP="00F02390">
      <w:r>
        <w:t>The relevance of the ranges selected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F02390" w14:paraId="75080885" w14:textId="77777777">
        <w:tc>
          <w:tcPr>
            <w:tcW w:w="1129" w:type="dxa"/>
          </w:tcPr>
          <w:p w14:paraId="75080883" w14:textId="77777777" w:rsidR="00F02390" w:rsidRDefault="00F02390">
            <w:r>
              <w:t>Level</w:t>
            </w:r>
          </w:p>
        </w:tc>
        <w:tc>
          <w:tcPr>
            <w:tcW w:w="7797" w:type="dxa"/>
          </w:tcPr>
          <w:p w14:paraId="75080884" w14:textId="77777777" w:rsidR="00F02390" w:rsidRDefault="00F02390">
            <w:r>
              <w:t>Limit</w:t>
            </w:r>
          </w:p>
        </w:tc>
      </w:tr>
      <w:tr w:rsidR="00F02390" w14:paraId="75080888" w14:textId="77777777">
        <w:tc>
          <w:tcPr>
            <w:tcW w:w="1129" w:type="dxa"/>
          </w:tcPr>
          <w:p w14:paraId="75080886" w14:textId="77777777" w:rsidR="00F02390" w:rsidRDefault="00F02390">
            <w:r>
              <w:t>10ppb</w:t>
            </w:r>
          </w:p>
        </w:tc>
        <w:tc>
          <w:tcPr>
            <w:tcW w:w="7797" w:type="dxa"/>
          </w:tcPr>
          <w:p w14:paraId="75080887" w14:textId="77777777" w:rsidR="00F02390" w:rsidRDefault="00F02390">
            <w:r>
              <w:t>Limit of quantification of analysis</w:t>
            </w:r>
          </w:p>
        </w:tc>
      </w:tr>
      <w:tr w:rsidR="00F02390" w14:paraId="7508088B" w14:textId="77777777">
        <w:tc>
          <w:tcPr>
            <w:tcW w:w="1129" w:type="dxa"/>
          </w:tcPr>
          <w:p w14:paraId="75080889" w14:textId="77777777" w:rsidR="00F02390" w:rsidRDefault="00F02390">
            <w:r>
              <w:t>250ppb</w:t>
            </w:r>
          </w:p>
        </w:tc>
        <w:tc>
          <w:tcPr>
            <w:tcW w:w="7797" w:type="dxa"/>
          </w:tcPr>
          <w:p w14:paraId="7508088A" w14:textId="77777777" w:rsidR="00F02390" w:rsidRDefault="00F02390">
            <w:r>
              <w:t>Guidance level for compound feeds</w:t>
            </w:r>
          </w:p>
        </w:tc>
      </w:tr>
      <w:tr w:rsidR="00F02390" w14:paraId="7508088E" w14:textId="77777777">
        <w:tc>
          <w:tcPr>
            <w:tcW w:w="1129" w:type="dxa"/>
          </w:tcPr>
          <w:p w14:paraId="7508088C" w14:textId="77777777" w:rsidR="00F02390" w:rsidRDefault="00F02390">
            <w:r>
              <w:t>1000ppb</w:t>
            </w:r>
          </w:p>
        </w:tc>
        <w:tc>
          <w:tcPr>
            <w:tcW w:w="7797" w:type="dxa"/>
          </w:tcPr>
          <w:p w14:paraId="7508088D" w14:textId="77777777" w:rsidR="00F02390" w:rsidRDefault="00F02390" w:rsidP="00F02390">
            <w:r>
              <w:t>Guidance level for oats</w:t>
            </w:r>
          </w:p>
        </w:tc>
      </w:tr>
      <w:tr w:rsidR="00F02390" w14:paraId="75080891" w14:textId="77777777">
        <w:tc>
          <w:tcPr>
            <w:tcW w:w="1129" w:type="dxa"/>
          </w:tcPr>
          <w:p w14:paraId="7508088F" w14:textId="77777777" w:rsidR="00F02390" w:rsidRDefault="00F02390" w:rsidP="00F02390">
            <w:r>
              <w:t>2000ppb</w:t>
            </w:r>
          </w:p>
        </w:tc>
        <w:tc>
          <w:tcPr>
            <w:tcW w:w="7797" w:type="dxa"/>
          </w:tcPr>
          <w:p w14:paraId="75080890" w14:textId="77777777" w:rsidR="00F02390" w:rsidRDefault="00F02390">
            <w:r>
              <w:t>Guidance level for oat products</w:t>
            </w:r>
          </w:p>
        </w:tc>
      </w:tr>
    </w:tbl>
    <w:p w14:paraId="75080892" w14:textId="77777777" w:rsidR="00B8146A" w:rsidRDefault="00B8146A" w:rsidP="00F02390">
      <w:pPr>
        <w:pStyle w:val="Heading3"/>
      </w:pPr>
    </w:p>
    <w:p w14:paraId="75080893" w14:textId="77777777" w:rsidR="00F02390" w:rsidRDefault="00F02390" w:rsidP="00F02390">
      <w:pPr>
        <w:pStyle w:val="Heading3"/>
      </w:pPr>
      <w:r>
        <w:t>Commentary</w:t>
      </w:r>
    </w:p>
    <w:p w14:paraId="52A807DD" w14:textId="3FE833AA" w:rsidR="00E76FD5" w:rsidRPr="00E76FD5" w:rsidRDefault="00F02390" w:rsidP="00A04674">
      <w:r>
        <w:t xml:space="preserve">A large proportion of </w:t>
      </w:r>
      <w:r w:rsidR="00184883">
        <w:t xml:space="preserve">the </w:t>
      </w:r>
      <w:r>
        <w:t>oat results exceed the</w:t>
      </w:r>
      <w:r w:rsidR="000C464D">
        <w:t xml:space="preserve"> 250 ppb</w:t>
      </w:r>
      <w:r>
        <w:t xml:space="preserve"> </w:t>
      </w:r>
      <w:r w:rsidR="00843CD6">
        <w:t xml:space="preserve">T-2 and HT-2 </w:t>
      </w:r>
      <w:r>
        <w:t>guidance level for compound feed by a s</w:t>
      </w:r>
      <w:r w:rsidR="00184883">
        <w:t>ignificant</w:t>
      </w:r>
      <w:r>
        <w:t xml:space="preserve"> margin</w:t>
      </w:r>
      <w:r w:rsidR="00184883">
        <w:t xml:space="preserve">, which is </w:t>
      </w:r>
      <w:r w:rsidR="004020D6">
        <w:t>a</w:t>
      </w:r>
      <w:r>
        <w:t xml:space="preserve"> concern. Feed businesses using oats and oat byproducts in compound feeds should </w:t>
      </w:r>
      <w:r w:rsidR="0089434B">
        <w:t xml:space="preserve">carry out a rigorous </w:t>
      </w:r>
      <w:r w:rsidR="008B2CD8">
        <w:t xml:space="preserve">risk assessment </w:t>
      </w:r>
      <w:r w:rsidR="0089434B">
        <w:t xml:space="preserve">of </w:t>
      </w:r>
      <w:r w:rsidR="005C4D33">
        <w:t>oats and oat</w:t>
      </w:r>
      <w:r w:rsidR="00B6305E">
        <w:t xml:space="preserve"> </w:t>
      </w:r>
      <w:r w:rsidR="00C5019A">
        <w:t xml:space="preserve">feed </w:t>
      </w:r>
      <w:r w:rsidR="002D6D6F">
        <w:t xml:space="preserve">which includes a review of inclusion rates in the diet and </w:t>
      </w:r>
      <w:r w:rsidR="00B6305E">
        <w:t>a robust</w:t>
      </w:r>
      <w:r>
        <w:t xml:space="preserve"> monitoring programme </w:t>
      </w:r>
      <w:r w:rsidR="00B6305E">
        <w:t>to</w:t>
      </w:r>
      <w:r>
        <w:t xml:space="preserve"> protect animal health and maintain feed safety.</w:t>
      </w:r>
    </w:p>
    <w:p w14:paraId="75080896" w14:textId="03D23103" w:rsidR="00517518" w:rsidRDefault="00517518" w:rsidP="00517518">
      <w:pPr>
        <w:pStyle w:val="Heading2"/>
      </w:pPr>
      <w:r>
        <w:t>Conclusion</w:t>
      </w:r>
      <w:r w:rsidR="00E22799">
        <w:t xml:space="preserve"> </w:t>
      </w:r>
    </w:p>
    <w:p w14:paraId="75080897" w14:textId="48F61E8F" w:rsidR="00517518" w:rsidRPr="00517518" w:rsidRDefault="00BE1D94" w:rsidP="00517518">
      <w:r>
        <w:t>The m</w:t>
      </w:r>
      <w:r w:rsidR="00517518">
        <w:t>onitoring</w:t>
      </w:r>
      <w:r>
        <w:t xml:space="preserve"> programme</w:t>
      </w:r>
      <w:r w:rsidR="00517518">
        <w:t xml:space="preserve"> of UK grown cereals over recent years would suggest that in most cases there is no real concerns for the feed industry </w:t>
      </w:r>
      <w:r w:rsidR="00146EF7">
        <w:t xml:space="preserve">in </w:t>
      </w:r>
      <w:r w:rsidR="00517518">
        <w:t>most years. Companies producing feed for pigs</w:t>
      </w:r>
      <w:r w:rsidR="00146EF7">
        <w:t xml:space="preserve"> particularly </w:t>
      </w:r>
      <w:r w:rsidR="00517518">
        <w:t xml:space="preserve">should take account of weather conditions </w:t>
      </w:r>
      <w:r w:rsidR="00AF6DA2">
        <w:t xml:space="preserve">during </w:t>
      </w:r>
      <w:r w:rsidR="00A31D47">
        <w:t xml:space="preserve">key points of the growing season, </w:t>
      </w:r>
      <w:r w:rsidR="00517518">
        <w:t xml:space="preserve">and </w:t>
      </w:r>
      <w:r w:rsidR="00A31D47">
        <w:t xml:space="preserve">at harvest </w:t>
      </w:r>
      <w:r w:rsidR="005B7A80">
        <w:t>to</w:t>
      </w:r>
      <w:r w:rsidR="00A31D47">
        <w:t xml:space="preserve"> </w:t>
      </w:r>
      <w:r w:rsidR="00517518">
        <w:t xml:space="preserve">assess </w:t>
      </w:r>
      <w:r w:rsidR="0048225E">
        <w:t xml:space="preserve">when </w:t>
      </w:r>
      <w:r w:rsidR="00D42C8D">
        <w:t xml:space="preserve">carrying out their </w:t>
      </w:r>
      <w:r w:rsidR="0048225E">
        <w:t xml:space="preserve">risk </w:t>
      </w:r>
      <w:r w:rsidR="00D42C8D">
        <w:t xml:space="preserve">assessment </w:t>
      </w:r>
      <w:r w:rsidR="0048225E">
        <w:t>of key mycotoxins</w:t>
      </w:r>
      <w:r w:rsidR="00D42C8D">
        <w:t xml:space="preserve"> in purchased cereals and cereal products, and in final feeds</w:t>
      </w:r>
      <w:r w:rsidR="0048225E">
        <w:t xml:space="preserve">. </w:t>
      </w:r>
      <w:r w:rsidR="00D42C8D">
        <w:t xml:space="preserve">Particular attention should be paid to the </w:t>
      </w:r>
      <w:r>
        <w:t xml:space="preserve">risk of </w:t>
      </w:r>
      <w:r w:rsidR="00517518">
        <w:t xml:space="preserve">oats </w:t>
      </w:r>
      <w:r w:rsidR="00D85946">
        <w:t xml:space="preserve">and </w:t>
      </w:r>
      <w:r w:rsidR="00517518">
        <w:t>byproduct</w:t>
      </w:r>
      <w:r>
        <w:t xml:space="preserve"> content of T2 + HT2 to ensure that</w:t>
      </w:r>
      <w:r w:rsidR="00517518">
        <w:t xml:space="preserve"> finished feeds </w:t>
      </w:r>
      <w:r>
        <w:t>do not exceed feed guidance limits for the species intended.</w:t>
      </w:r>
    </w:p>
    <w:sectPr w:rsidR="00517518" w:rsidRPr="00517518" w:rsidSect="00284FB2">
      <w:headerReference w:type="default" r:id="rId15"/>
      <w:footerReference w:type="default" r:id="rId16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174A" w14:textId="77777777" w:rsidR="009C2F0D" w:rsidRDefault="009C2F0D" w:rsidP="00B8146A">
      <w:pPr>
        <w:spacing w:after="0" w:line="240" w:lineRule="auto"/>
      </w:pPr>
      <w:r>
        <w:separator/>
      </w:r>
    </w:p>
  </w:endnote>
  <w:endnote w:type="continuationSeparator" w:id="0">
    <w:p w14:paraId="093D5BFD" w14:textId="77777777" w:rsidR="009C2F0D" w:rsidRDefault="009C2F0D" w:rsidP="00B8146A">
      <w:pPr>
        <w:spacing w:after="0" w:line="240" w:lineRule="auto"/>
      </w:pPr>
      <w:r>
        <w:continuationSeparator/>
      </w:r>
    </w:p>
  </w:endnote>
  <w:endnote w:type="continuationNotice" w:id="1">
    <w:p w14:paraId="725061D3" w14:textId="77777777" w:rsidR="009C2F0D" w:rsidRDefault="009C2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708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0808A5" w14:textId="77777777" w:rsidR="00B8146A" w:rsidRDefault="00B814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F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FF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0808A6" w14:textId="77777777" w:rsidR="00B8146A" w:rsidRDefault="00B81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5FDF" w14:textId="77777777" w:rsidR="009C2F0D" w:rsidRDefault="009C2F0D" w:rsidP="00B8146A">
      <w:pPr>
        <w:spacing w:after="0" w:line="240" w:lineRule="auto"/>
      </w:pPr>
      <w:r>
        <w:separator/>
      </w:r>
    </w:p>
  </w:footnote>
  <w:footnote w:type="continuationSeparator" w:id="0">
    <w:p w14:paraId="693CF689" w14:textId="77777777" w:rsidR="009C2F0D" w:rsidRDefault="009C2F0D" w:rsidP="00B8146A">
      <w:pPr>
        <w:spacing w:after="0" w:line="240" w:lineRule="auto"/>
      </w:pPr>
      <w:r>
        <w:continuationSeparator/>
      </w:r>
    </w:p>
  </w:footnote>
  <w:footnote w:type="continuationNotice" w:id="1">
    <w:p w14:paraId="1A8F6E08" w14:textId="77777777" w:rsidR="009C2F0D" w:rsidRDefault="009C2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08A4" w14:textId="477C978A" w:rsidR="00B8146A" w:rsidRDefault="00B8146A" w:rsidP="00284FB2">
    <w:pPr>
      <w:pStyle w:val="Header"/>
      <w:jc w:val="right"/>
    </w:pPr>
    <w:r>
      <w:t xml:space="preserve">AIC Report – AHDB, mycotoxins analysis, </w:t>
    </w:r>
    <w:r w:rsidR="00BE7B88"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E4370"/>
    <w:multiLevelType w:val="hybridMultilevel"/>
    <w:tmpl w:val="A7D6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409B"/>
    <w:multiLevelType w:val="hybridMultilevel"/>
    <w:tmpl w:val="93B2C0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464E"/>
    <w:multiLevelType w:val="hybridMultilevel"/>
    <w:tmpl w:val="A6442388"/>
    <w:lvl w:ilvl="0" w:tplc="424CA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7E84"/>
    <w:multiLevelType w:val="hybridMultilevel"/>
    <w:tmpl w:val="4B20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52011">
    <w:abstractNumId w:val="3"/>
  </w:num>
  <w:num w:numId="2" w16cid:durableId="366491075">
    <w:abstractNumId w:val="0"/>
  </w:num>
  <w:num w:numId="3" w16cid:durableId="1529832893">
    <w:abstractNumId w:val="1"/>
  </w:num>
  <w:num w:numId="4" w16cid:durableId="138132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42"/>
    <w:rsid w:val="000103AA"/>
    <w:rsid w:val="000106A9"/>
    <w:rsid w:val="000119F7"/>
    <w:rsid w:val="00030CB8"/>
    <w:rsid w:val="0008138B"/>
    <w:rsid w:val="00083FB4"/>
    <w:rsid w:val="000C0C70"/>
    <w:rsid w:val="000C4144"/>
    <w:rsid w:val="000C464D"/>
    <w:rsid w:val="000F24E3"/>
    <w:rsid w:val="000F4B41"/>
    <w:rsid w:val="00100A3C"/>
    <w:rsid w:val="00105C13"/>
    <w:rsid w:val="00113E70"/>
    <w:rsid w:val="00117DAF"/>
    <w:rsid w:val="0012586A"/>
    <w:rsid w:val="00126B28"/>
    <w:rsid w:val="00126D6D"/>
    <w:rsid w:val="00142CB6"/>
    <w:rsid w:val="00146504"/>
    <w:rsid w:val="00146EF7"/>
    <w:rsid w:val="00150128"/>
    <w:rsid w:val="00155FFF"/>
    <w:rsid w:val="001810B9"/>
    <w:rsid w:val="00184883"/>
    <w:rsid w:val="001944B4"/>
    <w:rsid w:val="001A56A9"/>
    <w:rsid w:val="001A5F0F"/>
    <w:rsid w:val="001A7554"/>
    <w:rsid w:val="001B1B37"/>
    <w:rsid w:val="001B2F08"/>
    <w:rsid w:val="001C311F"/>
    <w:rsid w:val="001C5309"/>
    <w:rsid w:val="001C5B7A"/>
    <w:rsid w:val="001C5FCA"/>
    <w:rsid w:val="001D2225"/>
    <w:rsid w:val="001D2253"/>
    <w:rsid w:val="001E04DC"/>
    <w:rsid w:val="001E0861"/>
    <w:rsid w:val="001F3080"/>
    <w:rsid w:val="00200A9D"/>
    <w:rsid w:val="00203DF7"/>
    <w:rsid w:val="002049B6"/>
    <w:rsid w:val="00205FDE"/>
    <w:rsid w:val="002116D9"/>
    <w:rsid w:val="00212B3E"/>
    <w:rsid w:val="00215736"/>
    <w:rsid w:val="002342DC"/>
    <w:rsid w:val="00234D2F"/>
    <w:rsid w:val="00243F51"/>
    <w:rsid w:val="002475F6"/>
    <w:rsid w:val="00250208"/>
    <w:rsid w:val="00253943"/>
    <w:rsid w:val="00276139"/>
    <w:rsid w:val="00280DF4"/>
    <w:rsid w:val="00284FB2"/>
    <w:rsid w:val="002933ED"/>
    <w:rsid w:val="00293573"/>
    <w:rsid w:val="00296954"/>
    <w:rsid w:val="002A263D"/>
    <w:rsid w:val="002B5D5A"/>
    <w:rsid w:val="002B6D0D"/>
    <w:rsid w:val="002C11E1"/>
    <w:rsid w:val="002D3BD6"/>
    <w:rsid w:val="002D6D6F"/>
    <w:rsid w:val="002E338A"/>
    <w:rsid w:val="002F5A61"/>
    <w:rsid w:val="003025D9"/>
    <w:rsid w:val="0031373D"/>
    <w:rsid w:val="0033194C"/>
    <w:rsid w:val="0034424E"/>
    <w:rsid w:val="00350181"/>
    <w:rsid w:val="00351AFA"/>
    <w:rsid w:val="00354E08"/>
    <w:rsid w:val="00356FBC"/>
    <w:rsid w:val="003576EE"/>
    <w:rsid w:val="0037212E"/>
    <w:rsid w:val="003734CF"/>
    <w:rsid w:val="003838CD"/>
    <w:rsid w:val="00390466"/>
    <w:rsid w:val="003B2446"/>
    <w:rsid w:val="003C3107"/>
    <w:rsid w:val="003D061F"/>
    <w:rsid w:val="003D1D90"/>
    <w:rsid w:val="003D36E1"/>
    <w:rsid w:val="003E4987"/>
    <w:rsid w:val="003E6389"/>
    <w:rsid w:val="004020D6"/>
    <w:rsid w:val="004174B2"/>
    <w:rsid w:val="0044467C"/>
    <w:rsid w:val="004566E7"/>
    <w:rsid w:val="00462506"/>
    <w:rsid w:val="004644E4"/>
    <w:rsid w:val="00475F0A"/>
    <w:rsid w:val="00480F96"/>
    <w:rsid w:val="00481BE3"/>
    <w:rsid w:val="0048225E"/>
    <w:rsid w:val="00482D0D"/>
    <w:rsid w:val="00491A7D"/>
    <w:rsid w:val="004A00DD"/>
    <w:rsid w:val="004A3B58"/>
    <w:rsid w:val="004A7D13"/>
    <w:rsid w:val="004B4828"/>
    <w:rsid w:val="004B6E69"/>
    <w:rsid w:val="0050543C"/>
    <w:rsid w:val="00517518"/>
    <w:rsid w:val="005238CF"/>
    <w:rsid w:val="00532FCE"/>
    <w:rsid w:val="00546232"/>
    <w:rsid w:val="00563BB0"/>
    <w:rsid w:val="005652C8"/>
    <w:rsid w:val="00572411"/>
    <w:rsid w:val="00581348"/>
    <w:rsid w:val="0058484D"/>
    <w:rsid w:val="00585B93"/>
    <w:rsid w:val="005948C8"/>
    <w:rsid w:val="00595AC5"/>
    <w:rsid w:val="0059659D"/>
    <w:rsid w:val="00596C7E"/>
    <w:rsid w:val="005970EC"/>
    <w:rsid w:val="005A7029"/>
    <w:rsid w:val="005B17DC"/>
    <w:rsid w:val="005B2073"/>
    <w:rsid w:val="005B7A80"/>
    <w:rsid w:val="005C4D33"/>
    <w:rsid w:val="005E198D"/>
    <w:rsid w:val="005F1AF3"/>
    <w:rsid w:val="00603996"/>
    <w:rsid w:val="006175FD"/>
    <w:rsid w:val="00625989"/>
    <w:rsid w:val="00633DF1"/>
    <w:rsid w:val="00635FF1"/>
    <w:rsid w:val="006431CD"/>
    <w:rsid w:val="00666E6B"/>
    <w:rsid w:val="00670E6B"/>
    <w:rsid w:val="00694C11"/>
    <w:rsid w:val="006B4ABF"/>
    <w:rsid w:val="006D71BC"/>
    <w:rsid w:val="0070255D"/>
    <w:rsid w:val="00702A15"/>
    <w:rsid w:val="007122EF"/>
    <w:rsid w:val="00723BCA"/>
    <w:rsid w:val="007304F5"/>
    <w:rsid w:val="007372CE"/>
    <w:rsid w:val="00742345"/>
    <w:rsid w:val="00757564"/>
    <w:rsid w:val="00764F88"/>
    <w:rsid w:val="0077256F"/>
    <w:rsid w:val="007B2EAD"/>
    <w:rsid w:val="007B4A90"/>
    <w:rsid w:val="007D0614"/>
    <w:rsid w:val="007D5395"/>
    <w:rsid w:val="007F1436"/>
    <w:rsid w:val="008041F9"/>
    <w:rsid w:val="00822E61"/>
    <w:rsid w:val="00837F4E"/>
    <w:rsid w:val="00843CD6"/>
    <w:rsid w:val="00855832"/>
    <w:rsid w:val="00862518"/>
    <w:rsid w:val="00872751"/>
    <w:rsid w:val="0089434B"/>
    <w:rsid w:val="008A2111"/>
    <w:rsid w:val="008A3974"/>
    <w:rsid w:val="008B2CD8"/>
    <w:rsid w:val="008B74EB"/>
    <w:rsid w:val="008C1C0A"/>
    <w:rsid w:val="008C6836"/>
    <w:rsid w:val="008C77FA"/>
    <w:rsid w:val="008D7BE0"/>
    <w:rsid w:val="008E4B7C"/>
    <w:rsid w:val="008E4CF5"/>
    <w:rsid w:val="008E542B"/>
    <w:rsid w:val="00914CC7"/>
    <w:rsid w:val="009174B5"/>
    <w:rsid w:val="0092700B"/>
    <w:rsid w:val="0094596D"/>
    <w:rsid w:val="00955269"/>
    <w:rsid w:val="00960F68"/>
    <w:rsid w:val="00961A9F"/>
    <w:rsid w:val="00963DEF"/>
    <w:rsid w:val="009667F1"/>
    <w:rsid w:val="00972963"/>
    <w:rsid w:val="00973A82"/>
    <w:rsid w:val="00982743"/>
    <w:rsid w:val="00984239"/>
    <w:rsid w:val="00987633"/>
    <w:rsid w:val="009A2654"/>
    <w:rsid w:val="009B61F0"/>
    <w:rsid w:val="009C2F0D"/>
    <w:rsid w:val="009D723E"/>
    <w:rsid w:val="009E17F2"/>
    <w:rsid w:val="009F1D4B"/>
    <w:rsid w:val="00A00F42"/>
    <w:rsid w:val="00A016A8"/>
    <w:rsid w:val="00A04674"/>
    <w:rsid w:val="00A04FE0"/>
    <w:rsid w:val="00A27CEB"/>
    <w:rsid w:val="00A300A8"/>
    <w:rsid w:val="00A31D47"/>
    <w:rsid w:val="00A36FC6"/>
    <w:rsid w:val="00A53C5A"/>
    <w:rsid w:val="00A67505"/>
    <w:rsid w:val="00A74861"/>
    <w:rsid w:val="00A74938"/>
    <w:rsid w:val="00A75367"/>
    <w:rsid w:val="00AB0901"/>
    <w:rsid w:val="00AB266B"/>
    <w:rsid w:val="00AB4841"/>
    <w:rsid w:val="00AC41B6"/>
    <w:rsid w:val="00AF25C5"/>
    <w:rsid w:val="00AF60D6"/>
    <w:rsid w:val="00AF6DA2"/>
    <w:rsid w:val="00B36681"/>
    <w:rsid w:val="00B566A1"/>
    <w:rsid w:val="00B6305E"/>
    <w:rsid w:val="00B701F4"/>
    <w:rsid w:val="00B7783E"/>
    <w:rsid w:val="00B8146A"/>
    <w:rsid w:val="00B943B0"/>
    <w:rsid w:val="00BA3DB0"/>
    <w:rsid w:val="00BD4EE8"/>
    <w:rsid w:val="00BE1D94"/>
    <w:rsid w:val="00BE4C9F"/>
    <w:rsid w:val="00BE7B88"/>
    <w:rsid w:val="00BF628B"/>
    <w:rsid w:val="00C04543"/>
    <w:rsid w:val="00C20015"/>
    <w:rsid w:val="00C224C2"/>
    <w:rsid w:val="00C301C8"/>
    <w:rsid w:val="00C47AC1"/>
    <w:rsid w:val="00C5019A"/>
    <w:rsid w:val="00C51F62"/>
    <w:rsid w:val="00C61B67"/>
    <w:rsid w:val="00C628A4"/>
    <w:rsid w:val="00C80B04"/>
    <w:rsid w:val="00C817A3"/>
    <w:rsid w:val="00C81E3B"/>
    <w:rsid w:val="00C87C67"/>
    <w:rsid w:val="00C901AC"/>
    <w:rsid w:val="00C95163"/>
    <w:rsid w:val="00CA0DB0"/>
    <w:rsid w:val="00CA33D4"/>
    <w:rsid w:val="00CA3FC0"/>
    <w:rsid w:val="00CA4EFF"/>
    <w:rsid w:val="00CC5C57"/>
    <w:rsid w:val="00CD20E5"/>
    <w:rsid w:val="00CF4FD2"/>
    <w:rsid w:val="00D2294B"/>
    <w:rsid w:val="00D26F62"/>
    <w:rsid w:val="00D3626F"/>
    <w:rsid w:val="00D42C8D"/>
    <w:rsid w:val="00D52E1C"/>
    <w:rsid w:val="00D55949"/>
    <w:rsid w:val="00D55C71"/>
    <w:rsid w:val="00D55D55"/>
    <w:rsid w:val="00D57479"/>
    <w:rsid w:val="00D65912"/>
    <w:rsid w:val="00D72D38"/>
    <w:rsid w:val="00D84219"/>
    <w:rsid w:val="00D85946"/>
    <w:rsid w:val="00DB23DB"/>
    <w:rsid w:val="00DD6633"/>
    <w:rsid w:val="00DF45E4"/>
    <w:rsid w:val="00E20E8E"/>
    <w:rsid w:val="00E22799"/>
    <w:rsid w:val="00E23D89"/>
    <w:rsid w:val="00E243E8"/>
    <w:rsid w:val="00E32250"/>
    <w:rsid w:val="00E3486D"/>
    <w:rsid w:val="00E429AB"/>
    <w:rsid w:val="00E567DF"/>
    <w:rsid w:val="00E56954"/>
    <w:rsid w:val="00E76FD5"/>
    <w:rsid w:val="00EA2FFD"/>
    <w:rsid w:val="00EB3DCA"/>
    <w:rsid w:val="00EB552C"/>
    <w:rsid w:val="00ED32DD"/>
    <w:rsid w:val="00EE370D"/>
    <w:rsid w:val="00EE696B"/>
    <w:rsid w:val="00EE7521"/>
    <w:rsid w:val="00EF661D"/>
    <w:rsid w:val="00F00380"/>
    <w:rsid w:val="00F02390"/>
    <w:rsid w:val="00F0798C"/>
    <w:rsid w:val="00F10224"/>
    <w:rsid w:val="00F1665A"/>
    <w:rsid w:val="00F16FF5"/>
    <w:rsid w:val="00F30D79"/>
    <w:rsid w:val="00F3638C"/>
    <w:rsid w:val="00F409DE"/>
    <w:rsid w:val="00F61361"/>
    <w:rsid w:val="00FC2C01"/>
    <w:rsid w:val="00FC4B31"/>
    <w:rsid w:val="00FD41DC"/>
    <w:rsid w:val="00FD47F8"/>
    <w:rsid w:val="00FE75A3"/>
    <w:rsid w:val="00FE75BF"/>
    <w:rsid w:val="00FE7BA7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082A"/>
  <w15:chartTrackingRefBased/>
  <w15:docId w15:val="{A233135F-AAB5-479E-9130-C85C919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7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F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0F42"/>
    <w:pPr>
      <w:ind w:left="720"/>
      <w:contextualSpacing/>
    </w:pPr>
  </w:style>
  <w:style w:type="table" w:styleId="TableGrid">
    <w:name w:val="Table Grid"/>
    <w:basedOn w:val="TableNormal"/>
    <w:uiPriority w:val="39"/>
    <w:rsid w:val="009E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17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6A"/>
  </w:style>
  <w:style w:type="paragraph" w:styleId="Footer">
    <w:name w:val="footer"/>
    <w:basedOn w:val="Normal"/>
    <w:link w:val="FooterChar"/>
    <w:uiPriority w:val="99"/>
    <w:unhideWhenUsed/>
    <w:rsid w:val="00B81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6A"/>
  </w:style>
  <w:style w:type="paragraph" w:styleId="NoSpacing">
    <w:name w:val="No Spacing"/>
    <w:uiPriority w:val="1"/>
    <w:qFormat/>
    <w:rsid w:val="001E04DC"/>
    <w:pPr>
      <w:spacing w:after="0" w:line="240" w:lineRule="auto"/>
    </w:pPr>
  </w:style>
  <w:style w:type="paragraph" w:styleId="Revision">
    <w:name w:val="Revision"/>
    <w:hidden/>
    <w:uiPriority w:val="99"/>
    <w:semiHidden/>
    <w:rsid w:val="00284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A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3B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aicpboro-my.sharepoint.com/personal/sarah-jane_godfrey_agindustries_org_uk/Documents/Dioxin%20and%20Mycotoxin%20Testing/AHDB/collection%20myco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aicpboro-my.sharepoint.com/personal/sarah-jane_godfrey_agindustries_org_uk/Documents/Dioxin%20and%20Mycotoxin%20Testing/AHDB/collection%20myc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aicpboro-my.sharepoint.com/personal/sarah-jane_godfrey_agindustries_org_uk/Documents/Dioxin%20and%20Mycotoxin%20Testing/AHDB/collection%20myco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3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2018 - 2023 DON Mycotoxin </a:t>
            </a:r>
          </a:p>
          <a:p>
            <a:pPr>
              <a:defRPr sz="2400"/>
            </a:pPr>
            <a:r>
              <a:rPr lang="en-GB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Feed Wheat, Barley and Oats; Wheatfeed and Oatfeed</a:t>
            </a:r>
            <a:endParaRPr lang="en-GB" sz="11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layout>
        <c:manualLayout>
          <c:xMode val="edge"/>
          <c:yMode val="edge"/>
          <c:x val="0.20779532793277863"/>
          <c:y val="4.40776724943280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7787895336482"/>
          <c:y val="0.21402295475777391"/>
          <c:w val="0.73465375570451785"/>
          <c:h val="0.5525815823477608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DON!$D$115</c:f>
              <c:strCache>
                <c:ptCount val="1"/>
                <c:pt idx="0">
                  <c:v>&lt;10 ppb</c:v>
                </c:pt>
              </c:strCache>
            </c:strRef>
          </c:tx>
          <c:spPr>
            <a:solidFill>
              <a:schemeClr val="accent5">
                <a:tint val="5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DON!$E$114:$J$114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DON!$E$115:$J$115</c:f>
              <c:numCache>
                <c:formatCode>General</c:formatCode>
                <c:ptCount val="6"/>
                <c:pt idx="0">
                  <c:v>21</c:v>
                </c:pt>
                <c:pt idx="1">
                  <c:v>11</c:v>
                </c:pt>
                <c:pt idx="2">
                  <c:v>5</c:v>
                </c:pt>
                <c:pt idx="3">
                  <c:v>9</c:v>
                </c:pt>
                <c:pt idx="4">
                  <c:v>24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F-4AB5-8E86-8DA33FBD1EDF}"/>
            </c:ext>
          </c:extLst>
        </c:ser>
        <c:ser>
          <c:idx val="1"/>
          <c:order val="1"/>
          <c:tx>
            <c:strRef>
              <c:f>DON!$D$116</c:f>
              <c:strCache>
                <c:ptCount val="1"/>
                <c:pt idx="0">
                  <c:v>&gt; 10 - 900 ppb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DON!$E$114:$J$114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DON!$E$116:$J$116</c:f>
              <c:numCache>
                <c:formatCode>General</c:formatCode>
                <c:ptCount val="6"/>
                <c:pt idx="0">
                  <c:v>41</c:v>
                </c:pt>
                <c:pt idx="1">
                  <c:v>49</c:v>
                </c:pt>
                <c:pt idx="2">
                  <c:v>53</c:v>
                </c:pt>
                <c:pt idx="3">
                  <c:v>47</c:v>
                </c:pt>
                <c:pt idx="4">
                  <c:v>36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1F-4AB5-8E86-8DA33FBD1EDF}"/>
            </c:ext>
          </c:extLst>
        </c:ser>
        <c:ser>
          <c:idx val="2"/>
          <c:order val="2"/>
          <c:tx>
            <c:strRef>
              <c:f>DON!$D$117</c:f>
              <c:strCache>
                <c:ptCount val="1"/>
                <c:pt idx="0">
                  <c:v>&gt;900 - 2000 ppb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DON!$E$114:$J$114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DON!$E$117:$J$117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1F-4AB5-8E86-8DA33FBD1EDF}"/>
            </c:ext>
          </c:extLst>
        </c:ser>
        <c:ser>
          <c:idx val="3"/>
          <c:order val="3"/>
          <c:tx>
            <c:strRef>
              <c:f>DON!$D$118</c:f>
              <c:strCache>
                <c:ptCount val="1"/>
                <c:pt idx="0">
                  <c:v> &gt;2000 - &lt;5000 ppb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DON!$E$114:$J$114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DON!$E$118:$J$118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1F-4AB5-8E86-8DA33FBD1EDF}"/>
            </c:ext>
          </c:extLst>
        </c:ser>
        <c:ser>
          <c:idx val="4"/>
          <c:order val="4"/>
          <c:tx>
            <c:strRef>
              <c:f>DON!$D$119</c:f>
              <c:strCache>
                <c:ptCount val="1"/>
                <c:pt idx="0">
                  <c:v>&gt;5000 - 8000 ppb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DON!$E$114:$J$114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DON!$E$119:$J$119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1F-4AB5-8E86-8DA33FBD1EDF}"/>
            </c:ext>
          </c:extLst>
        </c:ser>
        <c:ser>
          <c:idx val="5"/>
          <c:order val="5"/>
          <c:tx>
            <c:strRef>
              <c:f>DON!$D$120</c:f>
              <c:strCache>
                <c:ptCount val="1"/>
                <c:pt idx="0">
                  <c:v>&gt;8000 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DON!$E$114:$J$114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DON!$E$120:$J$120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D1F-4AB5-8E86-8DA33FBD1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53257183"/>
        <c:axId val="1053254303"/>
      </c:barChart>
      <c:catAx>
        <c:axId val="1053257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3254303"/>
        <c:crosses val="autoZero"/>
        <c:auto val="1"/>
        <c:lblAlgn val="ctr"/>
        <c:lblOffset val="100"/>
        <c:noMultiLvlLbl val="0"/>
      </c:catAx>
      <c:valAx>
        <c:axId val="1053254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3257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445762111555245E-2"/>
          <c:y val="0.82455491792339519"/>
          <c:w val="0.89897913155877107"/>
          <c:h val="0.133792910463116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en-GB" sz="13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+mn-lt"/>
              </a:rPr>
              <a:t> ZON ADHB 2018- 2023 </a:t>
            </a:r>
          </a:p>
          <a:p>
            <a:pPr>
              <a:defRPr sz="1200"/>
            </a:pPr>
            <a:r>
              <a:rPr lang="en-GB" sz="1100" b="0" i="0" u="none" strike="noStrike" baseline="0">
                <a:effectLst/>
              </a:rPr>
              <a:t>Wheat, Barley and Oats; Wheatfeed and Oatfeed</a:t>
            </a:r>
            <a:endParaRPr kumimoji="0" lang="en-GB" sz="1100" b="0" i="0" u="none" strike="noStrike" kern="1200" cap="none" spc="0" normalizeH="0" baseline="0" noProof="0">
              <a:ln>
                <a:noFill/>
              </a:ln>
              <a:solidFill>
                <a:sysClr val="windowText" lastClr="000000">
                  <a:lumMod val="65000"/>
                  <a:lumOff val="35000"/>
                </a:sysClr>
              </a:solidFill>
              <a:effectLst/>
              <a:uLnTx/>
              <a:uFillTx/>
              <a:latin typeface="+mn-lt"/>
            </a:endParaRPr>
          </a:p>
        </c:rich>
      </c:tx>
      <c:layout>
        <c:manualLayout>
          <c:xMode val="edge"/>
          <c:yMode val="edge"/>
          <c:x val="0.23135386660757812"/>
          <c:y val="3.89477985875917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175545362391411"/>
          <c:y val="0.22325318646566733"/>
          <c:w val="0.753868526793114"/>
          <c:h val="0.5568005534247161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Zon!$E$96</c:f>
              <c:strCache>
                <c:ptCount val="1"/>
                <c:pt idx="0">
                  <c:v>2.5 ppb</c:v>
                </c:pt>
              </c:strCache>
            </c:strRef>
          </c:tx>
          <c:spPr>
            <a:solidFill>
              <a:schemeClr val="accent5">
                <a:tint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Zon!$F$95:$K$95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Zon!$F$96:$K$96</c:f>
              <c:numCache>
                <c:formatCode>General</c:formatCode>
                <c:ptCount val="6"/>
                <c:pt idx="0">
                  <c:v>42</c:v>
                </c:pt>
                <c:pt idx="1">
                  <c:v>13</c:v>
                </c:pt>
                <c:pt idx="2">
                  <c:v>20</c:v>
                </c:pt>
                <c:pt idx="3">
                  <c:v>24</c:v>
                </c:pt>
                <c:pt idx="4">
                  <c:v>43</c:v>
                </c:pt>
                <c:pt idx="5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D0-42E0-BD91-99F977DF533E}"/>
            </c:ext>
          </c:extLst>
        </c:ser>
        <c:ser>
          <c:idx val="1"/>
          <c:order val="1"/>
          <c:tx>
            <c:strRef>
              <c:f>Zon!$E$97</c:f>
              <c:strCache>
                <c:ptCount val="1"/>
                <c:pt idx="0">
                  <c:v>&gt;2.5-100 ppb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numRef>
              <c:f>Zon!$F$95:$K$95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Zon!$F$97:$K$97</c:f>
              <c:numCache>
                <c:formatCode>General</c:formatCode>
                <c:ptCount val="6"/>
                <c:pt idx="0">
                  <c:v>20</c:v>
                </c:pt>
                <c:pt idx="1">
                  <c:v>47</c:v>
                </c:pt>
                <c:pt idx="2">
                  <c:v>36</c:v>
                </c:pt>
                <c:pt idx="3">
                  <c:v>34</c:v>
                </c:pt>
                <c:pt idx="4">
                  <c:v>17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D0-42E0-BD91-99F977DF533E}"/>
            </c:ext>
          </c:extLst>
        </c:ser>
        <c:ser>
          <c:idx val="2"/>
          <c:order val="2"/>
          <c:tx>
            <c:strRef>
              <c:f>Zon!$E$98</c:f>
              <c:strCache>
                <c:ptCount val="1"/>
                <c:pt idx="0">
                  <c:v>&gt;2.5-250 ppb</c:v>
                </c:pt>
              </c:strCache>
            </c:strRef>
          </c:tx>
          <c:spPr>
            <a:solidFill>
              <a:schemeClr val="accent5">
                <a:tint val="90000"/>
              </a:schemeClr>
            </a:solidFill>
            <a:ln>
              <a:noFill/>
            </a:ln>
            <a:effectLst/>
          </c:spPr>
          <c:invertIfNegative val="0"/>
          <c:cat>
            <c:numRef>
              <c:f>Zon!$F$95:$K$95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Zon!$F$98:$K$98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D0-42E0-BD91-99F977DF533E}"/>
            </c:ext>
          </c:extLst>
        </c:ser>
        <c:ser>
          <c:idx val="3"/>
          <c:order val="3"/>
          <c:tx>
            <c:strRef>
              <c:f>Zon!$E$99</c:f>
              <c:strCache>
                <c:ptCount val="1"/>
                <c:pt idx="0">
                  <c:v>&gt;250-500 ppb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Zon!$F$95:$K$95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Zon!$F$99:$K$99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D0-42E0-BD91-99F977DF533E}"/>
            </c:ext>
          </c:extLst>
        </c:ser>
        <c:ser>
          <c:idx val="4"/>
          <c:order val="4"/>
          <c:tx>
            <c:strRef>
              <c:f>Zon!$E$100</c:f>
              <c:strCache>
                <c:ptCount val="1"/>
                <c:pt idx="0">
                  <c:v>&gt;500-2000 ppb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Zon!$F$95:$K$95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Zon!$F$100:$K$100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D0-42E0-BD91-99F977DF533E}"/>
            </c:ext>
          </c:extLst>
        </c:ser>
        <c:ser>
          <c:idx val="5"/>
          <c:order val="5"/>
          <c:tx>
            <c:strRef>
              <c:f>Zon!$E$101</c:f>
              <c:strCache>
                <c:ptCount val="1"/>
                <c:pt idx="0">
                  <c:v>&gt;2000 ppb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Zon!$F$95:$K$95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Zon!$F$101:$K$101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1D0-42E0-BD91-99F977DF53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8802799"/>
        <c:axId val="1098803279"/>
      </c:barChart>
      <c:catAx>
        <c:axId val="1098802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803279"/>
        <c:crosses val="autoZero"/>
        <c:auto val="1"/>
        <c:lblAlgn val="ctr"/>
        <c:lblOffset val="100"/>
        <c:noMultiLvlLbl val="0"/>
      </c:catAx>
      <c:valAx>
        <c:axId val="1098803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802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14132401409052"/>
          <c:y val="0.89526757764506015"/>
          <c:w val="0.86619180634771642"/>
          <c:h val="5.72425987457130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3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2018 - 2023 T-2 and HT-2 Mycotoxin </a:t>
            </a:r>
          </a:p>
          <a:p>
            <a:pPr>
              <a:defRPr/>
            </a:pPr>
            <a:r>
              <a:rPr lang="en-GB" sz="1100"/>
              <a:t>Wheat, Barley and Wheatfeed</a:t>
            </a:r>
          </a:p>
        </c:rich>
      </c:tx>
      <c:layout>
        <c:manualLayout>
          <c:xMode val="edge"/>
          <c:yMode val="edge"/>
          <c:x val="0.20970669160483013"/>
          <c:y val="2.20045375683971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64389314508742"/>
          <c:y val="0.19241468174514934"/>
          <c:w val="0.85853780242902833"/>
          <c:h val="0.6344985986921125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'T2HT2WHT Barley'!$C$89</c:f>
              <c:strCache>
                <c:ptCount val="1"/>
                <c:pt idx="0">
                  <c:v>&lt;20 ug/kg LOD</c:v>
                </c:pt>
              </c:strCache>
            </c:strRef>
          </c:tx>
          <c:spPr>
            <a:solidFill>
              <a:schemeClr val="accent5">
                <a:tint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'T2HT2WHT Barley'!$D$88:$I$88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'T2HT2WHT Barley'!$D$89:$I$89</c:f>
              <c:numCache>
                <c:formatCode>General</c:formatCode>
                <c:ptCount val="6"/>
                <c:pt idx="0">
                  <c:v>33</c:v>
                </c:pt>
                <c:pt idx="1">
                  <c:v>35</c:v>
                </c:pt>
                <c:pt idx="2">
                  <c:v>34</c:v>
                </c:pt>
                <c:pt idx="3">
                  <c:v>38</c:v>
                </c:pt>
                <c:pt idx="4">
                  <c:v>40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D6-44FA-B3AE-087149315D4E}"/>
            </c:ext>
          </c:extLst>
        </c:ser>
        <c:ser>
          <c:idx val="1"/>
          <c:order val="1"/>
          <c:tx>
            <c:strRef>
              <c:f>'T2HT2WHT Barley'!$C$90</c:f>
              <c:strCache>
                <c:ptCount val="1"/>
                <c:pt idx="0">
                  <c:v>&gt; 20 - 100 ppb</c:v>
                </c:pt>
              </c:strCache>
            </c:strRef>
          </c:tx>
          <c:spPr>
            <a:solidFill>
              <a:schemeClr val="accent5">
                <a:tint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'T2HT2WHT Barley'!$D$88:$I$88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'T2HT2WHT Barley'!$D$90:$I$90</c:f>
              <c:numCache>
                <c:formatCode>General</c:formatCode>
                <c:ptCount val="6"/>
                <c:pt idx="0">
                  <c:v>8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D6-44FA-B3AE-087149315D4E}"/>
            </c:ext>
          </c:extLst>
        </c:ser>
        <c:ser>
          <c:idx val="2"/>
          <c:order val="2"/>
          <c:tx>
            <c:strRef>
              <c:f>'T2HT2WHT Barley'!$C$91</c:f>
              <c:strCache>
                <c:ptCount val="1"/>
                <c:pt idx="0">
                  <c:v>&gt;100 - 200 ppb</c:v>
                </c:pt>
              </c:strCache>
            </c:strRef>
          </c:tx>
          <c:spPr>
            <a:solidFill>
              <a:schemeClr val="accent5">
                <a:tint val="90000"/>
              </a:schemeClr>
            </a:solidFill>
            <a:ln>
              <a:noFill/>
            </a:ln>
            <a:effectLst/>
          </c:spPr>
          <c:invertIfNegative val="0"/>
          <c:cat>
            <c:numRef>
              <c:f>'T2HT2WHT Barley'!$D$88:$I$88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'T2HT2WHT Barley'!$D$91:$I$91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D6-44FA-B3AE-087149315D4E}"/>
            </c:ext>
          </c:extLst>
        </c:ser>
        <c:ser>
          <c:idx val="3"/>
          <c:order val="3"/>
          <c:tx>
            <c:strRef>
              <c:f>'T2HT2WHT Barley'!$C$92</c:f>
              <c:strCache>
                <c:ptCount val="1"/>
                <c:pt idx="0">
                  <c:v>&gt;200 - 250 ug/kg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'T2HT2WHT Barley'!$D$88:$I$88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'T2HT2WHT Barley'!$D$92:$I$92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D6-44FA-B3AE-087149315D4E}"/>
            </c:ext>
          </c:extLst>
        </c:ser>
        <c:ser>
          <c:idx val="4"/>
          <c:order val="4"/>
          <c:tx>
            <c:strRef>
              <c:f>'T2HT2WHT Barley'!$C$93</c:f>
              <c:strCache>
                <c:ptCount val="1"/>
                <c:pt idx="0">
                  <c:v>&gt; 250- 500 ppb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'T2HT2WHT Barley'!$D$88:$I$88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'T2HT2WHT Barley'!$D$93:$I$93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D6-44FA-B3AE-087149315D4E}"/>
            </c:ext>
          </c:extLst>
        </c:ser>
        <c:ser>
          <c:idx val="5"/>
          <c:order val="5"/>
          <c:tx>
            <c:strRef>
              <c:f>'T2HT2WHT Barley'!$C$94</c:f>
              <c:strCache>
                <c:ptCount val="1"/>
                <c:pt idx="0">
                  <c:v>&gt;500 ppb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'T2HT2WHT Barley'!$D$88:$I$88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'T2HT2WHT Barley'!$D$94:$I$94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D6-44FA-B3AE-087149315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9272159"/>
        <c:axId val="1099285599"/>
      </c:barChart>
      <c:catAx>
        <c:axId val="1099272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9285599"/>
        <c:crosses val="autoZero"/>
        <c:auto val="1"/>
        <c:lblAlgn val="ctr"/>
        <c:lblOffset val="100"/>
        <c:noMultiLvlLbl val="0"/>
      </c:catAx>
      <c:valAx>
        <c:axId val="1099285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9272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079017571285754E-2"/>
          <c:y val="0.89872841318564001"/>
          <c:w val="0.9"/>
          <c:h val="5.72037902041905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3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2018 - 2023 T-2 and HT-2 Mycotoxin </a:t>
            </a:r>
          </a:p>
          <a:p>
            <a:pPr>
              <a:defRPr sz="2000"/>
            </a:pPr>
            <a:r>
              <a:rPr lang="en-GB" sz="1100"/>
              <a:t>Oats</a:t>
            </a:r>
            <a:r>
              <a:rPr lang="en-GB" sz="1100" baseline="0"/>
              <a:t>/Oat Products</a:t>
            </a:r>
            <a:endParaRPr lang="en-GB" sz="1100"/>
          </a:p>
        </c:rich>
      </c:tx>
      <c:layout>
        <c:manualLayout>
          <c:xMode val="edge"/>
          <c:yMode val="edge"/>
          <c:x val="0.20708103100230132"/>
          <c:y val="4.59812049970332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651613433099601"/>
          <c:y val="0.23007326789555269"/>
          <c:w val="0.75155724018422232"/>
          <c:h val="0.448084824526565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T2HT2OAT!$C$61</c:f>
              <c:strCache>
                <c:ptCount val="1"/>
                <c:pt idx="0">
                  <c:v>&lt;20 ppb LOD</c:v>
                </c:pt>
              </c:strCache>
            </c:strRef>
          </c:tx>
          <c:spPr>
            <a:solidFill>
              <a:srgbClr val="F0ACEB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T2HT2OAT!$D$60:$I$60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T2HT2OAT!$D$61:$I$61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82-46ED-A681-5F37314E0CDD}"/>
            </c:ext>
          </c:extLst>
        </c:ser>
        <c:ser>
          <c:idx val="1"/>
          <c:order val="1"/>
          <c:tx>
            <c:strRef>
              <c:f>T2HT2OAT!$C$62</c:f>
              <c:strCache>
                <c:ptCount val="1"/>
                <c:pt idx="0">
                  <c:v>&gt; 20 - 250 ppb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T2HT2OAT!$D$60:$I$60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T2HT2OAT!$D$62:$I$62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82-46ED-A681-5F37314E0CDD}"/>
            </c:ext>
          </c:extLst>
        </c:ser>
        <c:ser>
          <c:idx val="2"/>
          <c:order val="2"/>
          <c:tx>
            <c:strRef>
              <c:f>T2HT2OAT!$C$63</c:f>
              <c:strCache>
                <c:ptCount val="1"/>
                <c:pt idx="0">
                  <c:v>&gt;250 - 1000 ppb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T2HT2OAT!$D$60:$I$60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T2HT2OAT!$D$63:$I$63</c:f>
              <c:numCache>
                <c:formatCode>General</c:formatCode>
                <c:ptCount val="6"/>
                <c:pt idx="0">
                  <c:v>9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82-46ED-A681-5F37314E0CDD}"/>
            </c:ext>
          </c:extLst>
        </c:ser>
        <c:ser>
          <c:idx val="3"/>
          <c:order val="3"/>
          <c:tx>
            <c:strRef>
              <c:f>T2HT2OAT!$C$64</c:f>
              <c:strCache>
                <c:ptCount val="1"/>
                <c:pt idx="0">
                  <c:v>&gt;1000- 2000 ppb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T2HT2OAT!$D$60:$I$60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T2HT2OAT!$D$64:$I$64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82-46ED-A681-5F37314E0CDD}"/>
            </c:ext>
          </c:extLst>
        </c:ser>
        <c:ser>
          <c:idx val="4"/>
          <c:order val="4"/>
          <c:tx>
            <c:strRef>
              <c:f>T2HT2OAT!$C$65</c:f>
              <c:strCache>
                <c:ptCount val="1"/>
                <c:pt idx="0">
                  <c:v>&gt;2000 ppb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T2HT2OAT!$D$60:$I$60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T2HT2OAT!$D$65:$I$65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82-46ED-A681-5F37314E0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015568"/>
        <c:axId val="117016528"/>
      </c:barChart>
      <c:catAx>
        <c:axId val="11701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016528"/>
        <c:crosses val="autoZero"/>
        <c:auto val="1"/>
        <c:lblAlgn val="ctr"/>
        <c:lblOffset val="100"/>
        <c:noMultiLvlLbl val="0"/>
      </c:catAx>
      <c:valAx>
        <c:axId val="11701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01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221449890327915E-2"/>
          <c:y val="0.81006855797799227"/>
          <c:w val="0.77369946881816876"/>
          <c:h val="0.143964181954355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DD0817392E844B3473E1C2CFA1E3B" ma:contentTypeVersion="6" ma:contentTypeDescription="Create a new document." ma:contentTypeScope="" ma:versionID="61cfa900d7231b59cd419e067670b826">
  <xsd:schema xmlns:xsd="http://www.w3.org/2001/XMLSchema" xmlns:xs="http://www.w3.org/2001/XMLSchema" xmlns:p="http://schemas.microsoft.com/office/2006/metadata/properties" xmlns:ns2="9c5d37ae-4c73-4774-a18c-eb569b598de2" xmlns:ns3="3193c47b-d1ae-4027-829d-1cb80ae93d96" targetNamespace="http://schemas.microsoft.com/office/2006/metadata/properties" ma:root="true" ma:fieldsID="766b55229abb1ca247b1b48225a57568" ns2:_="" ns3:_="">
    <xsd:import namespace="9c5d37ae-4c73-4774-a18c-eb569b598de2"/>
    <xsd:import namespace="3193c47b-d1ae-4027-829d-1cb80ae93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d37ae-4c73-4774-a18c-eb569b598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3c47b-d1ae-4027-829d-1cb80ae93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618A-91E0-4A01-8899-5E38980F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92B37-C3CB-4917-B68B-75F749C3B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B7E92-B891-492A-827E-1C8CDA08E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d37ae-4c73-4774-a18c-eb569b598de2"/>
    <ds:schemaRef ds:uri="3193c47b-d1ae-4027-829d-1cb80ae93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47FB1-7C9F-4F9F-9A3B-21CDC6DF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805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Sarah-Jane Godfrey</cp:lastModifiedBy>
  <cp:revision>2</cp:revision>
  <dcterms:created xsi:type="dcterms:W3CDTF">2024-12-18T17:00:00Z</dcterms:created>
  <dcterms:modified xsi:type="dcterms:W3CDTF">2024-12-18T17:00:00Z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0x010100737DD0817392E844B3473E1C2CFA1E3B</vt:lpwstr>
  </property>
</Properties>
</file>